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2B" w:rsidRPr="00966737" w:rsidRDefault="004F762B" w:rsidP="004F76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DB7E1E">
        <w:rPr>
          <w:rFonts w:ascii="Times New Roman" w:hAnsi="Times New Roman" w:cs="Times New Roman"/>
          <w:sz w:val="24"/>
          <w:szCs w:val="24"/>
          <w:lang w:val="uk-UA"/>
        </w:rPr>
        <w:t>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7E1E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67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ДНІПРОПЕТРОВСЬКА МЕДИЧНА АКАДЕМІЯ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МІНІСТЕРСТВА ОХОРОНИ ЗДОРОВ</w:t>
      </w:r>
      <w:r w:rsidRPr="00C66ACB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Я УКРАЇНИ</w:t>
      </w:r>
      <w:r w:rsidRPr="00966737">
        <w:rPr>
          <w:rFonts w:ascii="Times New Roman" w:hAnsi="Times New Roman" w:cs="Times New Roman"/>
          <w:sz w:val="24"/>
          <w:szCs w:val="24"/>
        </w:rPr>
        <w:t>»</w:t>
      </w:r>
    </w:p>
    <w:p w:rsidR="004F762B" w:rsidRPr="00966737" w:rsidRDefault="004F762B" w:rsidP="004F762B">
      <w:pPr>
        <w:spacing w:after="0" w:line="360" w:lineRule="auto"/>
      </w:pPr>
    </w:p>
    <w:p w:rsidR="004F762B" w:rsidRPr="00966737" w:rsidRDefault="004F762B" w:rsidP="004F762B">
      <w:pPr>
        <w:spacing w:after="0" w:line="360" w:lineRule="auto"/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B7E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На пр</w:t>
      </w:r>
      <w:r>
        <w:rPr>
          <w:rFonts w:ascii="Times New Roman" w:hAnsi="Times New Roman" w:cs="Times New Roman"/>
          <w:sz w:val="24"/>
          <w:szCs w:val="24"/>
          <w:lang w:val="uk-UA"/>
        </w:rPr>
        <w:t>авах  рукопису</w:t>
      </w:r>
    </w:p>
    <w:p w:rsidR="004F762B" w:rsidRPr="00966737" w:rsidRDefault="004F762B" w:rsidP="004F762B">
      <w:pPr>
        <w:spacing w:after="0" w:line="360" w:lineRule="auto"/>
      </w:pPr>
    </w:p>
    <w:p w:rsidR="004F762B" w:rsidRPr="00966737" w:rsidRDefault="004F762B" w:rsidP="004F762B">
      <w:pPr>
        <w:spacing w:after="0" w:line="360" w:lineRule="auto"/>
      </w:pPr>
    </w:p>
    <w:p w:rsidR="004F762B" w:rsidRPr="00966737" w:rsidRDefault="004F762B" w:rsidP="004F762B">
      <w:pPr>
        <w:spacing w:after="0" w:line="360" w:lineRule="auto"/>
      </w:pPr>
    </w:p>
    <w:p w:rsidR="004F762B" w:rsidRPr="00C66ACB" w:rsidRDefault="004F762B" w:rsidP="004F7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CB">
        <w:rPr>
          <w:rFonts w:ascii="Times New Roman" w:hAnsi="Times New Roman" w:cs="Times New Roman"/>
          <w:b/>
          <w:sz w:val="28"/>
          <w:szCs w:val="28"/>
          <w:lang w:val="uk-UA"/>
        </w:rPr>
        <w:t>ХОТ</w:t>
      </w:r>
      <w:r w:rsidR="00DB7E1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66ACB">
        <w:rPr>
          <w:rFonts w:ascii="Times New Roman" w:hAnsi="Times New Roman" w:cs="Times New Roman"/>
          <w:b/>
          <w:sz w:val="28"/>
          <w:szCs w:val="28"/>
          <w:lang w:val="uk-UA"/>
        </w:rPr>
        <w:t>МСЬКА ЮЛІЯ ВОЛОДИМИРІВНА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762B" w:rsidRPr="00FB43A9" w:rsidRDefault="00DB7E1E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4F762B" w:rsidRPr="00FB43A9">
        <w:rPr>
          <w:rFonts w:ascii="Times New Roman" w:hAnsi="Times New Roman" w:cs="Times New Roman"/>
          <w:sz w:val="28"/>
          <w:szCs w:val="28"/>
        </w:rPr>
        <w:t>УДК: 616.311:616.155.392-084-053.2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262E93" w:rsidRDefault="004F762B" w:rsidP="004F7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ДИФЕРЕНЦІЙОВАНИЙ ПІДХІД ДО ПРОФІЛАКТИКИ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ЛІКУВАННЯ УРАЖЕНЬ СЛИЗОВОЇ ОБОЛОНКИ ПОРОЖНИНИ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РОТА </w:t>
      </w:r>
      <w:r w:rsidR="00DB7E1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З ГОСТРИМ ЛІМФОБЛАСТНИМ ЛЕЙКОЗОМ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762B" w:rsidRPr="00C66ACB" w:rsidRDefault="004F762B" w:rsidP="004F76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14. 01. 22 – </w:t>
      </w:r>
      <w:r>
        <w:rPr>
          <w:rFonts w:ascii="Times New Roman" w:hAnsi="Times New Roman" w:cs="Times New Roman"/>
          <w:sz w:val="28"/>
          <w:szCs w:val="28"/>
          <w:lang w:val="uk-UA"/>
        </w:rPr>
        <w:t>стоматологія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DB7E1E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кандидата медичних наук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DB7E1E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="004F762B" w:rsidRPr="00966737">
        <w:rPr>
          <w:rFonts w:ascii="Times New Roman" w:hAnsi="Times New Roman" w:cs="Times New Roman"/>
          <w:sz w:val="28"/>
          <w:szCs w:val="28"/>
        </w:rPr>
        <w:t>:</w:t>
      </w:r>
    </w:p>
    <w:p w:rsidR="004F762B" w:rsidRPr="00966737" w:rsidRDefault="00DB7E1E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доктор медичних наук, професор</w:t>
      </w:r>
    </w:p>
    <w:p w:rsidR="004F762B" w:rsidRPr="00966737" w:rsidRDefault="00DB7E1E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Ковач Ілона Василівна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 </w:t>
      </w:r>
      <w:r w:rsidRPr="00966737">
        <w:rPr>
          <w:rFonts w:ascii="Times New Roman" w:hAnsi="Times New Roman" w:cs="Times New Roman"/>
          <w:sz w:val="28"/>
          <w:szCs w:val="28"/>
        </w:rPr>
        <w:t>2017</w:t>
      </w:r>
    </w:p>
    <w:p w:rsidR="004F762B" w:rsidRPr="00966737" w:rsidRDefault="004F762B" w:rsidP="004F7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4F762B" w:rsidRPr="00966737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УМОВНИХ СКОРОЧЕНЬ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…………………………………………...5</w:t>
      </w:r>
    </w:p>
    <w:p w:rsidR="004F762B" w:rsidRPr="00966737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……6</w:t>
      </w:r>
    </w:p>
    <w:p w:rsidR="00DB7E1E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966737">
        <w:rPr>
          <w:rFonts w:ascii="Times New Roman" w:hAnsi="Times New Roman" w:cs="Times New Roman"/>
          <w:sz w:val="28"/>
          <w:szCs w:val="28"/>
        </w:rPr>
        <w:t xml:space="preserve">1. 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Сучасне 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СОПР у дітей, що хворіють </w:t>
      </w:r>
    </w:p>
    <w:p w:rsidR="004F762B" w:rsidRPr="00065EB9" w:rsidRDefault="00DB7E1E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гостри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лімфобластни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лейкоз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(огляд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="004F762B">
        <w:rPr>
          <w:rFonts w:ascii="Times New Roman" w:hAnsi="Times New Roman" w:cs="Times New Roman"/>
          <w:sz w:val="28"/>
          <w:szCs w:val="28"/>
        </w:rPr>
        <w:t>……………………..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4F762B" w:rsidRPr="00DB7E1E" w:rsidRDefault="004F762B" w:rsidP="00DB7E1E">
      <w:pPr>
        <w:pStyle w:val="a3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Частота виникнення та клінічний прояв уражень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E1E">
        <w:rPr>
          <w:rFonts w:ascii="Times New Roman" w:hAnsi="Times New Roman" w:cs="Times New Roman"/>
          <w:sz w:val="28"/>
          <w:szCs w:val="28"/>
        </w:rPr>
        <w:t xml:space="preserve">СОПР </w:t>
      </w:r>
      <w:r w:rsidRPr="00DB7E1E">
        <w:rPr>
          <w:rFonts w:ascii="Times New Roman" w:hAnsi="Times New Roman" w:cs="Times New Roman"/>
          <w:sz w:val="28"/>
          <w:szCs w:val="28"/>
          <w:lang w:val="uk-UA"/>
        </w:rPr>
        <w:t>у дітей  із гострим лімфобластним лейкозом</w:t>
      </w:r>
      <w:r w:rsidRPr="00DB7E1E">
        <w:rPr>
          <w:rFonts w:ascii="Times New Roman" w:hAnsi="Times New Roman" w:cs="Times New Roman"/>
          <w:sz w:val="28"/>
          <w:szCs w:val="28"/>
        </w:rPr>
        <w:t>………..………</w:t>
      </w:r>
      <w:r w:rsidR="00DB7E1E">
        <w:rPr>
          <w:rFonts w:ascii="Times New Roman" w:hAnsi="Times New Roman" w:cs="Times New Roman"/>
          <w:sz w:val="28"/>
          <w:szCs w:val="28"/>
        </w:rPr>
        <w:t>…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>……………….</w:t>
      </w:r>
      <w:r w:rsidRPr="00DB7E1E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4F762B" w:rsidRPr="00DB7E1E" w:rsidRDefault="004F762B" w:rsidP="00DB7E1E">
      <w:pPr>
        <w:pStyle w:val="a3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мікробіоценозу та місцевого імунітету 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дітей,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E1E">
        <w:rPr>
          <w:rFonts w:ascii="Times New Roman" w:hAnsi="Times New Roman" w:cs="Times New Roman"/>
          <w:sz w:val="28"/>
          <w:szCs w:val="28"/>
          <w:lang w:val="uk-UA"/>
        </w:rPr>
        <w:t>що  страждають</w:t>
      </w:r>
      <w:r w:rsidR="00DB7E1E" w:rsidRPr="00DB7E1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DB7E1E">
        <w:rPr>
          <w:rFonts w:ascii="Times New Roman" w:hAnsi="Times New Roman" w:cs="Times New Roman"/>
          <w:sz w:val="28"/>
          <w:szCs w:val="28"/>
          <w:lang w:val="uk-UA"/>
        </w:rPr>
        <w:t xml:space="preserve"> гостри</w:t>
      </w:r>
      <w:r w:rsidR="00DB7E1E" w:rsidRPr="00DB7E1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7E1E">
        <w:rPr>
          <w:rFonts w:ascii="Times New Roman" w:hAnsi="Times New Roman" w:cs="Times New Roman"/>
          <w:sz w:val="28"/>
          <w:szCs w:val="28"/>
          <w:lang w:val="uk-UA"/>
        </w:rPr>
        <w:t xml:space="preserve">  лімфобластни</w:t>
      </w:r>
      <w:r w:rsidR="00DB7E1E" w:rsidRPr="00DB7E1E">
        <w:rPr>
          <w:rFonts w:ascii="Times New Roman" w:hAnsi="Times New Roman" w:cs="Times New Roman"/>
          <w:sz w:val="28"/>
          <w:szCs w:val="28"/>
          <w:lang w:val="uk-UA"/>
        </w:rPr>
        <w:t>й лейкоз</w:t>
      </w:r>
      <w:r w:rsidRPr="00DB7E1E">
        <w:rPr>
          <w:rFonts w:ascii="Times New Roman" w:hAnsi="Times New Roman" w:cs="Times New Roman"/>
          <w:sz w:val="28"/>
          <w:szCs w:val="28"/>
        </w:rPr>
        <w:t>……………</w:t>
      </w:r>
      <w:r w:rsidR="00DB7E1E">
        <w:rPr>
          <w:rFonts w:ascii="Times New Roman" w:hAnsi="Times New Roman" w:cs="Times New Roman"/>
          <w:sz w:val="28"/>
          <w:szCs w:val="28"/>
        </w:rPr>
        <w:t>…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Pr="00DB7E1E">
        <w:rPr>
          <w:rFonts w:ascii="Times New Roman" w:hAnsi="Times New Roman" w:cs="Times New Roman"/>
          <w:sz w:val="28"/>
          <w:szCs w:val="28"/>
        </w:rPr>
        <w:t xml:space="preserve">   1</w:t>
      </w:r>
      <w:r w:rsidRPr="00DB7E1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F762B" w:rsidRPr="00DB7E1E" w:rsidRDefault="004F762B" w:rsidP="00DB7E1E">
      <w:pPr>
        <w:pStyle w:val="a3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Морфофункціональна 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13556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E1E">
        <w:rPr>
          <w:rFonts w:ascii="Times New Roman" w:hAnsi="Times New Roman" w:cs="Times New Roman"/>
          <w:sz w:val="28"/>
          <w:szCs w:val="28"/>
          <w:lang w:val="uk-UA"/>
        </w:rPr>
        <w:t>гострим  лім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фобластним </w:t>
      </w:r>
      <w:r w:rsidRPr="00DB7E1E">
        <w:rPr>
          <w:rFonts w:ascii="Times New Roman" w:hAnsi="Times New Roman" w:cs="Times New Roman"/>
          <w:sz w:val="28"/>
          <w:szCs w:val="28"/>
          <w:lang w:val="uk-UA"/>
        </w:rPr>
        <w:t>лейкозом  при  введенні цитостатиків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>……………..</w:t>
      </w:r>
      <w:r w:rsidRPr="00DB7E1E">
        <w:rPr>
          <w:rFonts w:ascii="Times New Roman" w:hAnsi="Times New Roman" w:cs="Times New Roman"/>
          <w:sz w:val="28"/>
          <w:szCs w:val="28"/>
        </w:rPr>
        <w:t>2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F762B" w:rsidRPr="00DB7E1E" w:rsidRDefault="004F762B" w:rsidP="00DB7E1E">
      <w:pPr>
        <w:pStyle w:val="a3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 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лікування 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уражень 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737">
        <w:rPr>
          <w:rFonts w:ascii="Times New Roman" w:hAnsi="Times New Roman" w:cs="Times New Roman"/>
          <w:sz w:val="28"/>
          <w:szCs w:val="28"/>
        </w:rPr>
        <w:t>СОПР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556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B7E1E">
        <w:rPr>
          <w:rFonts w:ascii="Times New Roman" w:hAnsi="Times New Roman" w:cs="Times New Roman"/>
          <w:sz w:val="28"/>
          <w:szCs w:val="28"/>
          <w:lang w:val="uk-UA"/>
        </w:rPr>
        <w:t xml:space="preserve">гострим  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E1E">
        <w:rPr>
          <w:rFonts w:ascii="Times New Roman" w:hAnsi="Times New Roman" w:cs="Times New Roman"/>
          <w:sz w:val="28"/>
          <w:szCs w:val="28"/>
          <w:lang w:val="uk-UA"/>
        </w:rPr>
        <w:t>лімфобластним  лейкозом</w:t>
      </w:r>
      <w:r w:rsidRPr="00DB7E1E">
        <w:rPr>
          <w:rFonts w:ascii="Times New Roman" w:hAnsi="Times New Roman" w:cs="Times New Roman"/>
          <w:sz w:val="28"/>
          <w:szCs w:val="28"/>
        </w:rPr>
        <w:t>………………………….………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Pr="00DB7E1E">
        <w:rPr>
          <w:rFonts w:ascii="Times New Roman" w:hAnsi="Times New Roman" w:cs="Times New Roman"/>
          <w:sz w:val="28"/>
          <w:szCs w:val="28"/>
        </w:rPr>
        <w:t>2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F762B" w:rsidRPr="00065EB9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966737">
        <w:rPr>
          <w:rFonts w:ascii="Times New Roman" w:hAnsi="Times New Roman" w:cs="Times New Roman"/>
          <w:sz w:val="28"/>
          <w:szCs w:val="28"/>
        </w:rPr>
        <w:t>2.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  та  методи дослідження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</w:t>
      </w:r>
      <w:r w:rsidRPr="003A6CB4">
        <w:rPr>
          <w:rFonts w:ascii="Times New Roman" w:hAnsi="Times New Roman" w:cs="Times New Roman"/>
          <w:sz w:val="28"/>
          <w:szCs w:val="28"/>
        </w:rPr>
        <w:t>...</w:t>
      </w:r>
      <w:r w:rsidRPr="00966737">
        <w:rPr>
          <w:rFonts w:ascii="Times New Roman" w:hAnsi="Times New Roman" w:cs="Times New Roman"/>
          <w:sz w:val="28"/>
          <w:szCs w:val="28"/>
        </w:rPr>
        <w:t>……</w:t>
      </w:r>
      <w:r w:rsidR="00DB7E1E">
        <w:rPr>
          <w:rFonts w:ascii="Times New Roman" w:hAnsi="Times New Roman" w:cs="Times New Roman"/>
          <w:sz w:val="28"/>
          <w:szCs w:val="28"/>
        </w:rPr>
        <w:t>…</w:t>
      </w:r>
      <w:r w:rsidR="00DB7E1E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F762B" w:rsidRPr="00065EB9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2.1.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Дизайн дослідження</w:t>
      </w:r>
      <w:r w:rsidRPr="00966737">
        <w:rPr>
          <w:rFonts w:ascii="Times New Roman" w:hAnsi="Times New Roman" w:cs="Times New Roman"/>
          <w:sz w:val="28"/>
          <w:szCs w:val="28"/>
        </w:rPr>
        <w:t>…………….………………………..………</w:t>
      </w:r>
      <w:r>
        <w:rPr>
          <w:rFonts w:ascii="Times New Roman" w:hAnsi="Times New Roman" w:cs="Times New Roman"/>
          <w:sz w:val="28"/>
          <w:szCs w:val="28"/>
        </w:rPr>
        <w:t>…….3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F762B" w:rsidRPr="00065EB9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2.2.  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об</w:t>
      </w:r>
      <w:r w:rsidRPr="007A3AC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клінічних досліджень</w:t>
      </w:r>
      <w:r w:rsidRPr="00966737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…...3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F762B" w:rsidRPr="00065EB9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2.3.    </w:t>
      </w:r>
      <w:r>
        <w:rPr>
          <w:rFonts w:ascii="Times New Roman" w:hAnsi="Times New Roman" w:cs="Times New Roman"/>
          <w:sz w:val="28"/>
          <w:szCs w:val="28"/>
          <w:lang w:val="uk-UA"/>
        </w:rPr>
        <w:t>Клінічні  методи досліджень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…….3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2.4.    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Лабораторні  методи  досліджень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…….3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</w:t>
      </w:r>
      <w:r w:rsidR="001355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66737">
        <w:rPr>
          <w:rFonts w:ascii="Times New Roman" w:hAnsi="Times New Roman" w:cs="Times New Roman"/>
          <w:sz w:val="28"/>
          <w:szCs w:val="28"/>
        </w:rPr>
        <w:t xml:space="preserve">2.4.1.     </w:t>
      </w:r>
      <w:r>
        <w:rPr>
          <w:rFonts w:ascii="Times New Roman" w:hAnsi="Times New Roman" w:cs="Times New Roman"/>
          <w:sz w:val="28"/>
          <w:szCs w:val="28"/>
          <w:lang w:val="uk-UA"/>
        </w:rPr>
        <w:t>Біохімічні методи дослідження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………………………</w:t>
      </w:r>
      <w:r w:rsidR="0013556B">
        <w:rPr>
          <w:rFonts w:ascii="Times New Roman" w:hAnsi="Times New Roman" w:cs="Times New Roman"/>
          <w:sz w:val="28"/>
          <w:szCs w:val="28"/>
        </w:rPr>
        <w:t>……</w:t>
      </w:r>
      <w:r w:rsidR="0013556B">
        <w:rPr>
          <w:rFonts w:ascii="Times New Roman" w:hAnsi="Times New Roman" w:cs="Times New Roman"/>
          <w:sz w:val="28"/>
          <w:szCs w:val="28"/>
          <w:lang w:val="uk-UA"/>
        </w:rPr>
        <w:t>……..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   2.4.2.     </w:t>
      </w:r>
      <w:r>
        <w:rPr>
          <w:rFonts w:ascii="Times New Roman" w:hAnsi="Times New Roman" w:cs="Times New Roman"/>
          <w:sz w:val="28"/>
          <w:szCs w:val="28"/>
          <w:lang w:val="uk-UA"/>
        </w:rPr>
        <w:t>Імунологічні  методи дослідження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……3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F762B" w:rsidRPr="00C1511C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   2.4.3.     </w:t>
      </w:r>
      <w:r>
        <w:rPr>
          <w:rFonts w:ascii="Times New Roman" w:hAnsi="Times New Roman" w:cs="Times New Roman"/>
          <w:sz w:val="28"/>
          <w:szCs w:val="28"/>
          <w:lang w:val="uk-UA"/>
        </w:rPr>
        <w:t>Мікробіологічні методи дослідження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4F762B" w:rsidRPr="00C1511C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   2.4.4.     </w:t>
      </w:r>
      <w:r>
        <w:rPr>
          <w:rFonts w:ascii="Times New Roman" w:hAnsi="Times New Roman" w:cs="Times New Roman"/>
          <w:sz w:val="28"/>
          <w:szCs w:val="28"/>
          <w:lang w:val="uk-UA"/>
        </w:rPr>
        <w:t>Біофізичні  методи  дослідження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2.5.   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 вивчення  властивостей ротової рідини</w:t>
      </w:r>
      <w:r w:rsidRPr="0096673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…….4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   2.5.1.   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швидкості салівації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…….4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   2.5</w:t>
      </w:r>
      <w:r>
        <w:rPr>
          <w:rFonts w:ascii="Times New Roman" w:hAnsi="Times New Roman" w:cs="Times New Roman"/>
          <w:sz w:val="28"/>
          <w:szCs w:val="28"/>
        </w:rPr>
        <w:t xml:space="preserve">.2.   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 в</w:t>
      </w:r>
      <w:r w:rsidRPr="00721B37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язкості ротової рідини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A03D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F762B" w:rsidRPr="00534E11" w:rsidRDefault="00CA03DC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Методики комплексного лікування уражень </w:t>
      </w:r>
      <w:r w:rsidR="004F762B" w:rsidRPr="00966737">
        <w:rPr>
          <w:rFonts w:ascii="Times New Roman" w:hAnsi="Times New Roman" w:cs="Times New Roman"/>
          <w:sz w:val="28"/>
          <w:szCs w:val="28"/>
        </w:rPr>
        <w:t xml:space="preserve">СОПР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у дітей,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br/>
        <w:t xml:space="preserve">що  страждають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гостри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лімфобластни</w:t>
      </w:r>
      <w:r>
        <w:rPr>
          <w:rFonts w:ascii="Times New Roman" w:hAnsi="Times New Roman" w:cs="Times New Roman"/>
          <w:sz w:val="28"/>
          <w:szCs w:val="28"/>
          <w:lang w:val="uk-UA"/>
        </w:rPr>
        <w:t>й  лейкоз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4F762B">
        <w:rPr>
          <w:rFonts w:ascii="Times New Roman" w:hAnsi="Times New Roman" w:cs="Times New Roman"/>
          <w:sz w:val="28"/>
          <w:szCs w:val="28"/>
        </w:rPr>
        <w:t>4</w:t>
      </w:r>
      <w:r w:rsidR="00534E11" w:rsidRPr="00534E11">
        <w:rPr>
          <w:rFonts w:ascii="Times New Roman" w:hAnsi="Times New Roman" w:cs="Times New Roman"/>
          <w:sz w:val="28"/>
          <w:szCs w:val="28"/>
        </w:rPr>
        <w:t>1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 2.7 .  </w:t>
      </w:r>
      <w:r>
        <w:rPr>
          <w:rFonts w:ascii="Times New Roman" w:hAnsi="Times New Roman" w:cs="Times New Roman"/>
          <w:sz w:val="28"/>
          <w:szCs w:val="28"/>
          <w:lang w:val="uk-UA"/>
        </w:rPr>
        <w:t>Статистичні методи обробки даних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….4</w:t>
      </w:r>
      <w:r w:rsidR="00C1511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F762B" w:rsidRPr="00966737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966737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="00CA0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  <w:r w:rsidR="00CA0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уражень</w:t>
      </w:r>
      <w:r w:rsidR="00CA0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737">
        <w:rPr>
          <w:rFonts w:ascii="Times New Roman" w:hAnsi="Times New Roman" w:cs="Times New Roman"/>
          <w:sz w:val="28"/>
          <w:szCs w:val="28"/>
        </w:rPr>
        <w:t xml:space="preserve">СОПР, </w:t>
      </w:r>
      <w:r w:rsidR="00CA0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тканин </w:t>
      </w:r>
      <w:r w:rsidR="00CA0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пародонту</w:t>
      </w:r>
    </w:p>
    <w:p w:rsidR="004F762B" w:rsidRPr="005074E4" w:rsidRDefault="00CA03DC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рівня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гігієни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порожнини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рота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дітей, що хворіють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гостри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лімфобластни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лейко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89207A"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4F762B" w:rsidRPr="00CA03DC" w:rsidRDefault="00CA03DC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   </w:t>
      </w:r>
      <w:r w:rsidR="004F762B" w:rsidRPr="00966737">
        <w:rPr>
          <w:rFonts w:ascii="Times New Roman" w:hAnsi="Times New Roman" w:cs="Times New Roman"/>
          <w:sz w:val="28"/>
          <w:szCs w:val="28"/>
        </w:rPr>
        <w:t>Р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клінічного обстеження дітей </w:t>
      </w:r>
      <w:r w:rsidR="001355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з гострим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лімфобластним лейкозом</w:t>
      </w:r>
      <w:r w:rsidR="004F762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………………………………….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4F762B" w:rsidRPr="00CA03DC" w:rsidRDefault="00CA03DC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гігієни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порожнини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рота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1355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з гострим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лімфобластним лейкозом</w:t>
      </w:r>
      <w:r w:rsidR="004F762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3556B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4F762B">
        <w:rPr>
          <w:rFonts w:ascii="Times New Roman" w:hAnsi="Times New Roman" w:cs="Times New Roman"/>
          <w:sz w:val="28"/>
          <w:szCs w:val="28"/>
        </w:rPr>
        <w:t>5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F762B" w:rsidRPr="00CA03DC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966737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мікробіоценозу та місцевого імунітету </w:t>
      </w:r>
      <w:r w:rsidR="0069046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порожнині</w:t>
      </w:r>
      <w:r w:rsidR="00CA0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рота </w:t>
      </w:r>
      <w:r w:rsidR="0069046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13556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гострим лімфобластним лейкозом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CA0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56B">
        <w:rPr>
          <w:rFonts w:ascii="Times New Roman" w:hAnsi="Times New Roman" w:cs="Times New Roman"/>
          <w:sz w:val="28"/>
          <w:szCs w:val="28"/>
          <w:lang w:val="uk-UA"/>
        </w:rPr>
        <w:t>……..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F762B" w:rsidRPr="00CA03DC" w:rsidRDefault="00CA03DC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Стан мікробіоценозу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порожнині рота </w:t>
      </w:r>
      <w:r w:rsidR="000249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здорових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та дітей,  що страждають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гостри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лімфобластни</w:t>
      </w:r>
      <w:r>
        <w:rPr>
          <w:rFonts w:ascii="Times New Roman" w:hAnsi="Times New Roman" w:cs="Times New Roman"/>
          <w:sz w:val="28"/>
          <w:szCs w:val="28"/>
          <w:lang w:val="uk-UA"/>
        </w:rPr>
        <w:t>й  лейкоз</w:t>
      </w:r>
      <w:r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</w:t>
      </w:r>
      <w:r w:rsidR="004F762B">
        <w:rPr>
          <w:rFonts w:ascii="Times New Roman" w:hAnsi="Times New Roman" w:cs="Times New Roman"/>
          <w:sz w:val="28"/>
          <w:szCs w:val="28"/>
        </w:rPr>
        <w:t>6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F762B" w:rsidRPr="00CA03DC" w:rsidRDefault="00CA03DC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стану місцевого імунітету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порожнині рота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9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здорових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 та  дітей, що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страждають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гостри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лімфобластни</w:t>
      </w:r>
      <w:r>
        <w:rPr>
          <w:rFonts w:ascii="Times New Roman" w:hAnsi="Times New Roman" w:cs="Times New Roman"/>
          <w:sz w:val="28"/>
          <w:szCs w:val="28"/>
          <w:lang w:val="uk-UA"/>
        </w:rPr>
        <w:t>й   лейкоз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4F762B">
        <w:rPr>
          <w:rFonts w:ascii="Times New Roman" w:hAnsi="Times New Roman" w:cs="Times New Roman"/>
          <w:sz w:val="28"/>
          <w:szCs w:val="28"/>
        </w:rPr>
        <w:t>7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F762B" w:rsidRPr="00487182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966737">
        <w:rPr>
          <w:rFonts w:ascii="Times New Roman" w:hAnsi="Times New Roman" w:cs="Times New Roman"/>
          <w:sz w:val="28"/>
          <w:szCs w:val="28"/>
        </w:rPr>
        <w:t xml:space="preserve">5.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Клініко-лабораторні 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182">
        <w:rPr>
          <w:rFonts w:ascii="Times New Roman" w:hAnsi="Times New Roman" w:cs="Times New Roman"/>
          <w:sz w:val="28"/>
          <w:szCs w:val="28"/>
          <w:lang w:val="uk-UA"/>
        </w:rPr>
        <w:t>слизової оболонки порожнини рота</w:t>
      </w:r>
      <w:r w:rsidRPr="0096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тканин</w:t>
      </w:r>
      <w:r w:rsidR="00487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ародонту</w:t>
      </w:r>
      <w:r w:rsidR="0048718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із 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гострим лімфобластним ле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козом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0F0425">
        <w:rPr>
          <w:rFonts w:ascii="Times New Roman" w:hAnsi="Times New Roman" w:cs="Times New Roman"/>
          <w:sz w:val="28"/>
          <w:szCs w:val="28"/>
        </w:rPr>
        <w:t>...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>.....</w:t>
      </w:r>
      <w:r w:rsidR="00487182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77</w:t>
      </w:r>
    </w:p>
    <w:p w:rsidR="004F762B" w:rsidRPr="002F3A18" w:rsidRDefault="002F3A18" w:rsidP="002F3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Клінічна оцінка ефективності розроблених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77</w:t>
      </w:r>
    </w:p>
    <w:p w:rsidR="004F762B" w:rsidRPr="002F3A18" w:rsidRDefault="002F3A18" w:rsidP="002F3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Динаміка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індексної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оцінки стану гігієни порожнини рота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дією розроблених методів лікування</w:t>
      </w:r>
      <w:r w:rsidR="004F762B" w:rsidRPr="002F3A18">
        <w:rPr>
          <w:rFonts w:ascii="Times New Roman" w:hAnsi="Times New Roman" w:cs="Times New Roman"/>
          <w:sz w:val="28"/>
          <w:szCs w:val="28"/>
          <w:lang w:val="uk-UA"/>
        </w:rPr>
        <w:t>……………………………….</w:t>
      </w:r>
      <w:r w:rsidRPr="002F3A18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……………...</w:t>
      </w:r>
      <w:r w:rsidR="004F762B" w:rsidRPr="002F3A1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F762B" w:rsidRPr="003C119F" w:rsidRDefault="002F3A18" w:rsidP="002F3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19F">
        <w:rPr>
          <w:rFonts w:ascii="Times New Roman" w:hAnsi="Times New Roman" w:cs="Times New Roman"/>
          <w:sz w:val="28"/>
          <w:szCs w:val="28"/>
          <w:lang w:val="uk-UA"/>
        </w:rPr>
        <w:t xml:space="preserve">5.3.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Динаміка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біохімічних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ротової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рідини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впливом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 xml:space="preserve">методів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Pr="003C119F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………………………………………….</w:t>
      </w:r>
      <w:r w:rsidR="004F762B" w:rsidRPr="003C11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19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5.3.1.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Динаміка маркерів запалення 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ротовій рідині</w:t>
      </w:r>
      <w:r w:rsidRPr="00966737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...9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F762B" w:rsidRPr="001E7F3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5.3.2. </w:t>
      </w:r>
      <w:r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функціональної 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активності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антиоксидантної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порожнини 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рота</w:t>
      </w:r>
      <w:r w:rsidR="002F3A18">
        <w:rPr>
          <w:rFonts w:ascii="Times New Roman" w:hAnsi="Times New Roman" w:cs="Times New Roman"/>
          <w:sz w:val="28"/>
          <w:szCs w:val="28"/>
        </w:rPr>
        <w:t>………………………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>.……………………………………….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F762B" w:rsidRPr="002F3A18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   5.3.</w:t>
      </w:r>
      <w:r w:rsidR="002F3A18">
        <w:rPr>
          <w:rFonts w:ascii="Times New Roman" w:hAnsi="Times New Roman" w:cs="Times New Roman"/>
          <w:sz w:val="28"/>
          <w:szCs w:val="28"/>
        </w:rPr>
        <w:t>3.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Динаміка показників неспецифічної резистентності 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порожнині  рота</w:t>
      </w:r>
      <w:r w:rsidRPr="0096673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0F0425">
        <w:rPr>
          <w:rFonts w:ascii="Times New Roman" w:hAnsi="Times New Roman" w:cs="Times New Roman"/>
          <w:sz w:val="28"/>
          <w:szCs w:val="28"/>
        </w:rPr>
        <w:t>…</w:t>
      </w:r>
      <w:r w:rsidR="002F3A18">
        <w:rPr>
          <w:rFonts w:ascii="Times New Roman" w:hAnsi="Times New Roman" w:cs="Times New Roman"/>
          <w:sz w:val="28"/>
          <w:szCs w:val="28"/>
        </w:rPr>
        <w:t>…</w:t>
      </w:r>
      <w:r w:rsidR="002F3A1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F762B" w:rsidRPr="00966737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   5.3.4.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Зміна 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мікробно</w:t>
      </w:r>
      <w:r w:rsidR="00AC67B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7BD">
        <w:rPr>
          <w:rFonts w:ascii="Times New Roman" w:hAnsi="Times New Roman" w:cs="Times New Roman"/>
          <w:sz w:val="28"/>
          <w:szCs w:val="28"/>
          <w:lang w:val="uk-UA"/>
        </w:rPr>
        <w:t>обсіменіння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порожнини 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рота 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динаміці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0F0425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        5.3.5.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Зміна ступен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дисбіозу порожнини рота 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динаміці лікування</w:t>
      </w:r>
      <w:r w:rsidR="00335C9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F762B" w:rsidRPr="00966737" w:rsidRDefault="004F762B" w:rsidP="00335C9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5.4.   </w:t>
      </w:r>
      <w:r>
        <w:rPr>
          <w:rFonts w:ascii="Times New Roman" w:hAnsi="Times New Roman" w:cs="Times New Roman"/>
          <w:sz w:val="28"/>
          <w:szCs w:val="28"/>
          <w:lang w:val="uk-UA"/>
        </w:rPr>
        <w:t>Динаміка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зарядових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станів клітин букального епітелію 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під дією 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лікувально-профілактичних комплексів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35C92">
        <w:rPr>
          <w:rFonts w:ascii="Times New Roman" w:hAnsi="Times New Roman" w:cs="Times New Roman"/>
          <w:sz w:val="28"/>
          <w:szCs w:val="28"/>
        </w:rPr>
        <w:t>…………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F762B" w:rsidRPr="005074E4" w:rsidRDefault="00335C92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Зміна властивостей ротової рідини під дією лікувально-профілактичних  комплексів</w:t>
      </w:r>
      <w:r w:rsidR="004F762B" w:rsidRPr="000F0425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4F762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F762B" w:rsidRPr="000F0425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………………..</w:t>
      </w:r>
      <w:r w:rsidR="004F762B" w:rsidRPr="000F042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425">
        <w:rPr>
          <w:rFonts w:ascii="Times New Roman" w:hAnsi="Times New Roman" w:cs="Times New Roman"/>
          <w:sz w:val="28"/>
          <w:szCs w:val="28"/>
          <w:lang w:val="uk-UA"/>
        </w:rPr>
        <w:t xml:space="preserve">        5.5.1.    </w:t>
      </w:r>
      <w:r>
        <w:rPr>
          <w:rFonts w:ascii="Times New Roman" w:hAnsi="Times New Roman" w:cs="Times New Roman"/>
          <w:sz w:val="28"/>
          <w:szCs w:val="28"/>
          <w:lang w:val="uk-UA"/>
        </w:rPr>
        <w:t>Зміна  швидкості сал</w:t>
      </w:r>
      <w:r w:rsidR="00AB071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вації</w:t>
      </w:r>
      <w:r w:rsidRPr="000F042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304DC" w:rsidRPr="001752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042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F762B" w:rsidRPr="005074E4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425">
        <w:rPr>
          <w:rFonts w:ascii="Times New Roman" w:hAnsi="Times New Roman" w:cs="Times New Roman"/>
          <w:sz w:val="28"/>
          <w:szCs w:val="28"/>
          <w:lang w:val="uk-UA"/>
        </w:rPr>
        <w:t xml:space="preserve">        5.5.2.    </w:t>
      </w:r>
      <w:r>
        <w:rPr>
          <w:rFonts w:ascii="Times New Roman" w:hAnsi="Times New Roman" w:cs="Times New Roman"/>
          <w:sz w:val="28"/>
          <w:szCs w:val="28"/>
          <w:lang w:val="uk-UA"/>
        </w:rPr>
        <w:t>Динаміка в</w:t>
      </w:r>
      <w:r w:rsidRPr="004F762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язкості ротової рідини</w:t>
      </w:r>
      <w:r w:rsidRPr="000F0425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Pr="006662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0425"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042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E7F3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F762B" w:rsidRPr="001236C3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ТА УЗАГАЛЬНЕННЯ РЕЗУЛЬТАТІВ ЛІКУВАННЯ</w:t>
      </w:r>
      <w:r w:rsidRPr="0066626B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335C9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6662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0BDF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62B" w:rsidRPr="00966737" w:rsidTr="0025158E">
        <w:tc>
          <w:tcPr>
            <w:tcW w:w="9469" w:type="dxa"/>
          </w:tcPr>
          <w:p w:rsidR="004F762B" w:rsidRPr="001236C3" w:rsidRDefault="004F762B" w:rsidP="004F0B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  <w:t>Висновки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……...</w:t>
            </w:r>
            <w:r w:rsidR="00D304D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14</w:t>
            </w:r>
            <w:r w:rsidR="004F0BD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  <w:t>2</w:t>
            </w:r>
          </w:p>
        </w:tc>
      </w:tr>
      <w:tr w:rsidR="004F762B" w:rsidRPr="00966737" w:rsidTr="0025158E">
        <w:tc>
          <w:tcPr>
            <w:tcW w:w="9469" w:type="dxa"/>
          </w:tcPr>
          <w:p w:rsidR="004F762B" w:rsidRPr="001236C3" w:rsidRDefault="004F762B" w:rsidP="004F0B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РЕКОМЕНДАЦІЇ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="00335C9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F0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F762B" w:rsidRPr="00966737" w:rsidTr="0025158E">
        <w:tc>
          <w:tcPr>
            <w:tcW w:w="9469" w:type="dxa"/>
          </w:tcPr>
          <w:p w:rsidR="004F762B" w:rsidRPr="001236C3" w:rsidRDefault="004F762B" w:rsidP="002515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СПИСОК ВИКОРИСТАНИХ ДЖЕРЕЛ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r w:rsidRPr="000F04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  <w:r w:rsidR="00335C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0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4F762B" w:rsidRPr="004F0BDF" w:rsidRDefault="004F762B" w:rsidP="004F0B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="00335C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F0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4F762B" w:rsidRPr="00966737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5C92" w:rsidRPr="00335C92" w:rsidRDefault="00335C92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62B" w:rsidRPr="00966737" w:rsidRDefault="004F762B" w:rsidP="004F7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УМОВНИХ СКОРОЧЕНЬ</w:t>
      </w:r>
    </w:p>
    <w:p w:rsidR="004F762B" w:rsidRPr="00966737" w:rsidRDefault="004F762B" w:rsidP="004F76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62B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АОС – </w:t>
      </w:r>
      <w:r>
        <w:rPr>
          <w:rFonts w:ascii="Times New Roman" w:hAnsi="Times New Roman" w:cs="Times New Roman"/>
          <w:sz w:val="28"/>
          <w:szCs w:val="28"/>
          <w:lang w:val="uk-UA"/>
        </w:rPr>
        <w:t>антиоксидантна система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АМП – </w:t>
      </w:r>
      <w:r>
        <w:rPr>
          <w:rFonts w:ascii="Times New Roman" w:hAnsi="Times New Roman" w:cs="Times New Roman"/>
          <w:sz w:val="28"/>
          <w:szCs w:val="28"/>
          <w:lang w:val="uk-UA"/>
        </w:rPr>
        <w:t>антимікробні пептиди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667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гігієничний індекс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ГПР – </w:t>
      </w:r>
      <w:r>
        <w:rPr>
          <w:rFonts w:ascii="Times New Roman" w:hAnsi="Times New Roman" w:cs="Times New Roman"/>
          <w:sz w:val="28"/>
          <w:szCs w:val="28"/>
          <w:lang w:val="uk-UA"/>
        </w:rPr>
        <w:t>гігієна порожнини рота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ГХКГ – </w:t>
      </w:r>
      <w:r>
        <w:rPr>
          <w:rFonts w:ascii="Times New Roman" w:hAnsi="Times New Roman" w:cs="Times New Roman"/>
          <w:sz w:val="28"/>
          <w:szCs w:val="28"/>
          <w:lang w:val="uk-UA"/>
        </w:rPr>
        <w:t>генералізований хронічний катаральний гінгівіт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ЖСА– </w:t>
      </w:r>
      <w:r>
        <w:rPr>
          <w:rFonts w:ascii="Times New Roman" w:hAnsi="Times New Roman" w:cs="Times New Roman"/>
          <w:sz w:val="28"/>
          <w:szCs w:val="28"/>
          <w:lang w:val="uk-UA"/>
        </w:rPr>
        <w:t>жовтково-сольовий агар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>КБ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667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клітини букального епітелію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AC8">
        <w:rPr>
          <w:rFonts w:ascii="Times New Roman" w:hAnsi="Times New Roman" w:cs="Times New Roman"/>
          <w:sz w:val="28"/>
          <w:szCs w:val="28"/>
        </w:rPr>
        <w:t xml:space="preserve">ЛПК – </w:t>
      </w:r>
      <w:r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лікувально-профілактичний комплекс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>ЛП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667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лікувально-профілактичні заходи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МДА – </w:t>
      </w:r>
      <w:r>
        <w:rPr>
          <w:rFonts w:ascii="Times New Roman" w:hAnsi="Times New Roman" w:cs="Times New Roman"/>
          <w:sz w:val="28"/>
          <w:szCs w:val="28"/>
          <w:lang w:val="uk-UA"/>
        </w:rPr>
        <w:t>малоновий діальдегід</w:t>
      </w:r>
    </w:p>
    <w:p w:rsidR="004F762B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НМФ –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нормальна мікрофлора</w:t>
      </w:r>
    </w:p>
    <w:p w:rsidR="004F762B" w:rsidRPr="008F5A86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ЛЛ – </w:t>
      </w:r>
      <w:r>
        <w:rPr>
          <w:rFonts w:ascii="Times New Roman" w:hAnsi="Times New Roman" w:cs="Times New Roman"/>
          <w:sz w:val="28"/>
          <w:szCs w:val="28"/>
          <w:lang w:val="uk-UA"/>
        </w:rPr>
        <w:t>гострий лімфобластний лейкоз</w:t>
      </w:r>
    </w:p>
    <w:p w:rsidR="004F762B" w:rsidRPr="008F5A86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  <w:lang w:val="uk-UA"/>
        </w:rPr>
        <w:t>гострий період</w:t>
      </w:r>
    </w:p>
    <w:p w:rsidR="004F762B" w:rsidRPr="007A3AC8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ПОЛ – </w:t>
      </w:r>
      <w:r>
        <w:rPr>
          <w:rFonts w:ascii="Times New Roman" w:hAnsi="Times New Roman" w:cs="Times New Roman"/>
          <w:sz w:val="28"/>
          <w:szCs w:val="28"/>
          <w:lang w:val="uk-UA"/>
        </w:rPr>
        <w:t>перекисне окислення ліпідів</w:t>
      </w:r>
    </w:p>
    <w:p w:rsidR="004F762B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–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 рецидиву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ПРМ –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 ремісії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СД – </w:t>
      </w:r>
      <w:r>
        <w:rPr>
          <w:rFonts w:ascii="Times New Roman" w:hAnsi="Times New Roman" w:cs="Times New Roman"/>
          <w:sz w:val="28"/>
          <w:szCs w:val="28"/>
          <w:lang w:val="uk-UA"/>
        </w:rPr>
        <w:t>ступінь дисбіозу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sz w:val="28"/>
          <w:szCs w:val="28"/>
        </w:rPr>
        <w:t xml:space="preserve">ФМС – </w:t>
      </w:r>
      <w:r>
        <w:rPr>
          <w:rFonts w:ascii="Times New Roman" w:hAnsi="Times New Roman" w:cs="Times New Roman"/>
          <w:sz w:val="28"/>
          <w:szCs w:val="28"/>
          <w:lang w:val="uk-UA"/>
        </w:rPr>
        <w:t>фіз</w:t>
      </w:r>
      <w:r w:rsidR="0024203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ологічна мікробна система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737">
        <w:rPr>
          <w:rFonts w:ascii="Times New Roman" w:hAnsi="Times New Roman" w:cs="Times New Roman"/>
          <w:bCs/>
          <w:iCs/>
          <w:sz w:val="28"/>
          <w:szCs w:val="28"/>
        </w:rPr>
        <w:t xml:space="preserve">УПМ –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умовно-патогенна мікрофлора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6737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4F762B" w:rsidRPr="00966737" w:rsidRDefault="004F762B" w:rsidP="004F7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4F762B" w:rsidRPr="00966737" w:rsidRDefault="004F762B" w:rsidP="004F7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762B" w:rsidRPr="00966737" w:rsidRDefault="008C5AB7" w:rsidP="008C5AB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   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Ураження слизової оболонки порожнини рота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дітей із різними си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сте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м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ними захворюваннями, зокрема онкогематологічною патологією, є одним з найважливіших і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той же час найменш вивчених розділів сучасної дитячої стоматології</w:t>
      </w:r>
      <w:r w:rsidR="004F762B"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[1,</w:t>
      </w:r>
      <w:r w:rsidR="004F762B" w:rsidRPr="003A6CB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F762B"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2,</w:t>
      </w:r>
      <w:r w:rsidR="004F762B" w:rsidRPr="003A6CB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F762B"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3,</w:t>
      </w:r>
      <w:r w:rsidR="004F762B" w:rsidRPr="003A6CB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F762B"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4,</w:t>
      </w:r>
      <w:r w:rsidR="004F762B" w:rsidRPr="003A6CB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F762B"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5,</w:t>
      </w:r>
      <w:r w:rsidR="004F762B" w:rsidRPr="003A6CB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F762B"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6,</w:t>
      </w:r>
      <w:r w:rsidR="004F762B" w:rsidRPr="003A6CB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F762B"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7,</w:t>
      </w:r>
      <w:r w:rsidR="004F762B" w:rsidRPr="003A6CB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F762B"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8].</w:t>
      </w:r>
    </w:p>
    <w:p w:rsidR="00D0707A" w:rsidRDefault="008C5AB7" w:rsidP="008C5AB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 </w:t>
      </w:r>
      <w:r w:rsidR="00D0707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 Україні за останні роки виявлен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тенденці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ю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до збільшення розповс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ю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дженості різних форм лейкемії, у тому числі гострих – від </w:t>
      </w:r>
      <w:r w:rsidR="004F762B" w:rsidRPr="003A6CB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3,2 </w:t>
      </w:r>
      <w:r w:rsidR="004F762B"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до</w:t>
      </w:r>
      <w:r w:rsidR="004F762B" w:rsidRPr="003A6CB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4,4 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випадків на </w:t>
      </w:r>
      <w:r w:rsidR="004F762B" w:rsidRPr="003A6CB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100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тисяч дитячого населення</w:t>
      </w:r>
      <w:r w:rsidR="004F762B" w:rsidRPr="003A6CB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З них гострий лімфобластний лейкоз (ГЛЛ) є найчастішим</w:t>
      </w:r>
      <w:r w:rsidR="00D0707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онкологічним </w:t>
      </w:r>
      <w:r w:rsidR="00D0707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захворюванням </w:t>
      </w:r>
      <w:r w:rsidR="00D0707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дитячого</w:t>
      </w:r>
      <w:r w:rsidR="00D0707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віку та складає при</w:t>
      </w:r>
      <w:r w:rsidR="00D0707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-</w:t>
      </w:r>
    </w:p>
    <w:p w:rsidR="004F762B" w:rsidRPr="003A6CB4" w:rsidRDefault="004F762B" w:rsidP="008C5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близно </w:t>
      </w:r>
      <w:r w:rsidRPr="003A6C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25% </w:t>
      </w:r>
      <w:r w:rsidR="00D07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D07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сіх </w:t>
      </w:r>
      <w:r w:rsidR="00D07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злоякісних новоутвор</w:t>
      </w:r>
      <w:r w:rsidR="00D0707A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 </w:t>
      </w:r>
      <w:r w:rsidR="00D07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педіатрії</w:t>
      </w:r>
      <w:r w:rsidRPr="003A6CB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F762B" w:rsidRPr="00966737" w:rsidRDefault="004F762B" w:rsidP="004F76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При захворюванні гострим лімфобластним лейкозом у дітей уражуют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ся не лише внутрішні органи та системи, п</w:t>
      </w:r>
      <w:r w:rsidR="00D27BE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ригнічується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загальна реактивність організму, але й пошкоджується слизова оболонка порожнини рота</w:t>
      </w:r>
      <w:r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[9,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10,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11,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12].</w:t>
      </w:r>
    </w:p>
    <w:p w:rsidR="004F762B" w:rsidRPr="008E35EB" w:rsidRDefault="004F762B" w:rsidP="004F76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Хіміотерапія, що є ефективним методом лікування онкогематологічної патології у дитячому віці, крім лікувальної дії, має зн</w:t>
      </w:r>
      <w:r w:rsidR="00D27BE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ачну кількість побічних ефектів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як на організм дитини, так і на слизову оболонку порожнини рота </w:t>
      </w:r>
      <w:r w:rsidRPr="008E35E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[13,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8E35E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14,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8E35E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15,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8E35E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16].</w:t>
      </w:r>
    </w:p>
    <w:p w:rsidR="004F762B" w:rsidRPr="008E35EB" w:rsidRDefault="004F762B" w:rsidP="004F76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У багатьох дослідженнях описані прояви </w:t>
      </w:r>
      <w:r w:rsidR="00D27BE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порожнині рота, які мають місце при ГЛЛ, зокрема, кандидозні ураження різного ступеня важкості, 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морагічний синдром, гострий герпетичний стоматит, хронічний катаральний та гіпертрофічний гінгівіт, ерозивно-виразкові та виразково-некротичні ур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ження </w:t>
      </w:r>
      <w:r w:rsidRPr="008E35E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[17,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8E35E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9,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8E35E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10].</w:t>
      </w:r>
    </w:p>
    <w:p w:rsidR="004F762B" w:rsidRPr="00966737" w:rsidRDefault="004F762B" w:rsidP="004F76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Однак, у результаті появи нових видів протокольного лікування, чітко простежується зміна цих клінічних проявів на слизовій оболонці порожнини рота</w:t>
      </w:r>
      <w:r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</w:p>
    <w:p w:rsidR="004F762B" w:rsidRPr="000E2C23" w:rsidRDefault="004F762B" w:rsidP="004F76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Одним з провідних факторів ураження слизової оболонки порожнини рота є неспроможність організму дитини до впливу різних</w:t>
      </w:r>
      <w:r w:rsidR="009F32F4" w:rsidRPr="009F32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F32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умовно-патогенних мікроорганізмів</w:t>
      </w:r>
      <w:r w:rsidR="009F32F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УПМ</w:t>
      </w:r>
      <w:r w:rsidR="009F32F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, коли у результаті зміни їхнього видового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lastRenderedPageBreak/>
        <w:t>складу змінюється як загальна, так і місцева неспецифічна резистентність 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тячого організму </w:t>
      </w:r>
      <w:r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[21,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22,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23].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Виходячи з цього, лікування та профілактика цих уражень повинні бути комплексними, і до лікувально-профілактичного комплексу</w:t>
      </w:r>
      <w:r w:rsidR="00D27BE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крім місцевих знеболювальних та антисептичних засобів</w:t>
      </w:r>
      <w:r w:rsidR="00D27BE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доціл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но включати адаптогени, антиоксиданти та антидоти місцевого значення</w:t>
      </w:r>
      <w:r w:rsidRPr="000E2C2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.     </w:t>
      </w:r>
    </w:p>
    <w:p w:rsidR="004F762B" w:rsidRPr="00E92713" w:rsidRDefault="00D27BEC" w:rsidP="00D27BE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  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 науковій літературі нерідко зустрічаються суперечливі дані про ная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ність та видовий склад грибів роду </w:t>
      </w:r>
      <w:r w:rsidR="004F762B" w:rsidRPr="0096673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Candida</w:t>
      </w:r>
      <w:r w:rsidR="004F762B" w:rsidRP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й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бактеріальну флору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дітей, що хворіють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на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гостри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й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лімфобластни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й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лейкоз </w:t>
      </w:r>
      <w:r w:rsidR="004F762B" w:rsidRPr="004F762B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[</w:t>
      </w:r>
      <w:r w:rsidR="004F762B" w:rsidRP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24,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4F762B" w:rsidRP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25</w:t>
      </w:r>
      <w:r w:rsidR="004F762B" w:rsidRPr="004F762B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].</w:t>
      </w:r>
      <w:r w:rsidR="004F762B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 зв</w:t>
      </w:r>
      <w:r w:rsidR="004F762B" w:rsidRPr="008E35E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'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язку з появою нових різновидів антимікотичних та антибактеріальних препаратів виникає нео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б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хідність вивчення чутливості симбіозу грибів та бактерій до цих препаратів</w:t>
      </w:r>
      <w:r w:rsidR="004F762B" w:rsidRPr="008E35E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.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При цьому взаємозв</w:t>
      </w:r>
      <w:r w:rsidR="004F762B" w:rsidRPr="00E9271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'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язок клінічного перебігу, етапів лікування</w:t>
      </w:r>
      <w:r w:rsidR="009F32F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9F32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гострого лі</w:t>
      </w:r>
      <w:r w:rsidR="009F32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</w:t>
      </w:r>
      <w:r w:rsidR="009F32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фобластного лейкозу (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ГЛЛ</w:t>
      </w:r>
      <w:r w:rsidR="009F32F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)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його проявів у порожнині рота 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і</w:t>
      </w:r>
      <w:r w:rsidR="004F762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ступенем дисбіозу та рівнем неспецифічної резистентності вивчені недостатньо</w:t>
      </w:r>
      <w:r w:rsidR="004F762B" w:rsidRPr="00E9271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.</w:t>
      </w:r>
    </w:p>
    <w:p w:rsidR="004F762B" w:rsidRPr="00E92713" w:rsidRDefault="004F762B" w:rsidP="004F76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Таким чином, створюється необхідність об</w:t>
      </w:r>
      <w:r w:rsidR="00741AE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ґ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рунтованої розробки ко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плексу лікувально-профілактичних заходів при ураженнях слизової оболонки порожнини рота </w:t>
      </w:r>
      <w:r w:rsidR="009E7A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дітей із гострим лімфобластним лейкозом, спрямованих на нормалізацію мікробіоценозу та місцевого імунітету </w:t>
      </w:r>
      <w:r w:rsidR="009E7A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порожнині рота</w:t>
      </w:r>
      <w:r w:rsidRPr="00E9271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Тому подальші розробки та удосконалення комплексних методів профілактики та лікування запальних захворювань тканин пародонту та слизової оболонки порожнини рота </w:t>
      </w:r>
      <w:r w:rsidR="009E7A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таких дітей і визначає актуальність цього дослідження</w:t>
      </w:r>
      <w:r w:rsidRPr="00E9271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43D39" w:rsidRDefault="00E92713" w:rsidP="00E27DC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Зв</w:t>
      </w:r>
      <w:r w:rsidRPr="00871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'</w:t>
      </w:r>
      <w:r w:rsidR="00CA1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язок роботи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 науковими програмами, планами, темами</w:t>
      </w:r>
      <w:r w:rsidR="0044055D" w:rsidRPr="00871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8E3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44055D" w:rsidRPr="008714CE" w:rsidRDefault="00E92713" w:rsidP="00E27DC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Дисертація виконана згідно</w:t>
      </w:r>
      <w:r w:rsidR="00741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план</w:t>
      </w:r>
      <w:r w:rsidR="00741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НДР кафедри дитячої стоматол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гії Д</w:t>
      </w:r>
      <w:r w:rsidR="00741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35E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Дніпропетровська медична академія МОЗ України</w:t>
      </w:r>
      <w:r w:rsidR="008E35E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A61BB" w:rsidRPr="00CA61B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</w:t>
      </w:r>
      <w:r w:rsidR="0044055D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35E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та удосконалення методів діагностики, патогенетичного лікування та профіла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тики стоматологічних захворювань у дітей із соматичною патологією</w:t>
      </w:r>
      <w:r w:rsidR="008E35E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4055D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жавна </w:t>
      </w:r>
      <w:r w:rsidR="00CA61BB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еєстрація</w:t>
      </w:r>
      <w:r w:rsidR="0044055D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733D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55D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38645E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44055D" w:rsidRPr="0038645E">
        <w:rPr>
          <w:rFonts w:ascii="Times New Roman" w:eastAsia="Times New Roman" w:hAnsi="Times New Roman" w:cs="Times New Roman"/>
          <w:sz w:val="28"/>
          <w:szCs w:val="28"/>
        </w:rPr>
        <w:t>U</w:t>
      </w:r>
      <w:r w:rsidR="0044055D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38645E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>085</w:t>
      </w:r>
      <w:r w:rsidR="0044055D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>8)</w:t>
      </w:r>
      <w:r w:rsidR="00E62FFC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62FFC" w:rsidRPr="008714CE" w:rsidRDefault="00E92713" w:rsidP="00E27D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Мета дослідження</w:t>
      </w:r>
      <w:r w:rsidR="00E62FFC" w:rsidRPr="008714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–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підвищення ефективності профілактики </w:t>
      </w:r>
      <w:r w:rsidR="00C721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лік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вання уражень слизової оболонки порожнини рота </w:t>
      </w:r>
      <w:r w:rsidR="00741A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</w:t>
      </w:r>
      <w:r w:rsidR="00C721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дітей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з гострим лімфо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ластним лейкозом шляхом вивчення ролі порушень місцевого імунітету, бі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ценозу порожнини рота </w:t>
      </w:r>
      <w:r w:rsidR="00C721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розробки </w:t>
      </w:r>
      <w:r w:rsidR="009F32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лікувально – профілактичних комплексів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 xml:space="preserve">для їх </w:t>
      </w:r>
      <w:r w:rsidRPr="00E959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диференційної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корекції </w:t>
      </w:r>
      <w:r w:rsidR="00741A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різні періоди перебігу </w:t>
      </w:r>
      <w:r w:rsidR="00C721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гострого лімфоблас</w:t>
      </w:r>
      <w:r w:rsidR="00C721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т</w:t>
      </w:r>
      <w:r w:rsidR="00C721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ного лейкозу</w:t>
      </w:r>
      <w:r w:rsidR="00E62FFC" w:rsidRPr="008714C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uk-UA" w:eastAsia="en-US"/>
        </w:rPr>
        <w:t>.</w:t>
      </w:r>
    </w:p>
    <w:p w:rsidR="00E62FFC" w:rsidRDefault="00E92713" w:rsidP="00E27D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Для досягнення мети</w:t>
      </w:r>
      <w:r w:rsidR="00E3699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дослідження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E3699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поставлені наступні завдання</w:t>
      </w:r>
      <w:r w:rsidR="00E62FFC" w:rsidRPr="00966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DC1770" w:rsidRPr="00DC1770" w:rsidRDefault="00DC1770" w:rsidP="00DC17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C17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</w:t>
      </w:r>
      <w:r w:rsidR="00E927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Вивчити </w:t>
      </w:r>
      <w:r w:rsidR="00210F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клінічні прояви уражень слизової оболонки порожнини рота 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210F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дітей у різні періоди перебігу гострого лімфобластного лейкозу</w:t>
      </w:r>
      <w:r w:rsidRPr="00DC17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C1770" w:rsidRPr="00DC1770" w:rsidRDefault="00DC1770" w:rsidP="00DC17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C17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2. 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Дослідити взаємозв</w:t>
      </w:r>
      <w:r w:rsidR="00402DC5" w:rsidRP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'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язок ураження тканин пародонт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слизової об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лонки порожнини рота 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дітей, що мають 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гострий лімфобластний лейкоз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різні періоди перебі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гу, 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біохімічними показниками ротової рідини</w:t>
      </w:r>
      <w:r w:rsidRP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C1770" w:rsidRPr="00DC1770" w:rsidRDefault="00DC1770" w:rsidP="00DC17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C17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3. 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Вивчити ступінь дисбіозу 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стан неспецифічної резистентності 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рожнині рота 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дітей 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гострим лімфобластним лейкозом у різні періоди п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ребігу 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визначити їх роль у виникненні запалення 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тканинах пародонт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й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слизов</w:t>
      </w:r>
      <w:r w:rsidR="000A44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оболон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:rsidR="00DC1770" w:rsidRPr="00DC1770" w:rsidRDefault="00DC1770" w:rsidP="00DC17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C17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4. 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Розробити методи </w:t>
      </w:r>
      <w:r w:rsidR="00402DC5" w:rsidRPr="00E959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диференційної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корекції порушень у слизовій об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лонці порожнини рота для профілактики 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й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лікування стоматологічної пат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логії 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дітей,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хвор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их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гостри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й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лімфобластни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й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л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ейкоз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різні періоди пер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бігу 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ґ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рунтувати вибір засобів індивідуальної гігієни порожнини рота 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даного контингенту дітей</w:t>
      </w:r>
      <w:r w:rsidRPr="00DC17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C1770" w:rsidRPr="00DC1770" w:rsidRDefault="00DC1770" w:rsidP="00DC17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C17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5. 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Провести клініко-лабораторну оцінку ефективності комплексного л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кування уражень слизової оболонки поро</w:t>
      </w:r>
      <w:r w:rsidR="00085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нини рота </w:t>
      </w:r>
      <w:r w:rsidR="00741A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дітей з гострим лі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фобластним лейкозом у найближчі та віддалені </w:t>
      </w:r>
      <w:r w:rsidR="00E369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терміни</w:t>
      </w:r>
      <w:r w:rsidR="00402D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спостереження</w:t>
      </w:r>
      <w:r w:rsidRPr="00DC17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9F32F4" w:rsidRPr="00077C82" w:rsidRDefault="009F32F4" w:rsidP="0007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</w:t>
      </w:r>
      <w:r w:rsidR="00402DC5" w:rsidRPr="00077C8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Об'єкт дослідження</w:t>
      </w:r>
      <w:r w:rsidR="00E62FFC" w:rsidRPr="00077C8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="00E62FFC" w:rsidRPr="00077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77C82">
        <w:rPr>
          <w:rFonts w:ascii="Times New Roman" w:hAnsi="Times New Roman" w:cs="Times New Roman"/>
          <w:sz w:val="28"/>
          <w:szCs w:val="28"/>
          <w:lang w:val="uk-UA"/>
        </w:rPr>
        <w:t>генералізований хронічний катаральний гінгівіт, виразковий і кандидозний стоматит у дітей,  хворих на гострий лімфоблас</w:t>
      </w:r>
      <w:r w:rsidRPr="00077C8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77C82">
        <w:rPr>
          <w:rFonts w:ascii="Times New Roman" w:hAnsi="Times New Roman" w:cs="Times New Roman"/>
          <w:sz w:val="28"/>
          <w:szCs w:val="28"/>
          <w:lang w:val="uk-UA"/>
        </w:rPr>
        <w:t>ний лейкоз.</w:t>
      </w:r>
    </w:p>
    <w:p w:rsidR="00423714" w:rsidRPr="009F32F4" w:rsidRDefault="009F32F4" w:rsidP="0007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C8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2DC5" w:rsidRPr="00077C8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Предмет дослідження</w:t>
      </w:r>
      <w:r w:rsidR="00E62FFC" w:rsidRPr="00077C8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="008E35EB" w:rsidRPr="00077C8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077C82">
        <w:rPr>
          <w:rFonts w:ascii="Times New Roman" w:hAnsi="Times New Roman" w:cs="Times New Roman"/>
          <w:sz w:val="28"/>
          <w:szCs w:val="28"/>
          <w:lang w:val="uk-UA"/>
        </w:rPr>
        <w:t>показники антиоксидантного захисту, активність окислювально-відновлювальних ферментів, ступінь дисбіозу і неспецифі</w:t>
      </w:r>
      <w:r w:rsidRPr="00077C8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077C82">
        <w:rPr>
          <w:rFonts w:ascii="Times New Roman" w:hAnsi="Times New Roman" w:cs="Times New Roman"/>
          <w:sz w:val="28"/>
          <w:szCs w:val="28"/>
          <w:lang w:val="uk-UA"/>
        </w:rPr>
        <w:t>ний імунітет порожнини рота в дітей з генералізованим хронічним катарал</w:t>
      </w:r>
      <w:r w:rsidRPr="00077C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77C82">
        <w:rPr>
          <w:rFonts w:ascii="Times New Roman" w:hAnsi="Times New Roman" w:cs="Times New Roman"/>
          <w:sz w:val="28"/>
          <w:szCs w:val="28"/>
          <w:lang w:val="uk-UA"/>
        </w:rPr>
        <w:t>ним гінгівітом, виразковим і кандидозним стоматитом на тлі гострого лімф</w:t>
      </w:r>
      <w:r w:rsidRPr="00077C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77C82">
        <w:rPr>
          <w:rFonts w:ascii="Times New Roman" w:hAnsi="Times New Roman" w:cs="Times New Roman"/>
          <w:sz w:val="28"/>
          <w:szCs w:val="28"/>
          <w:lang w:val="uk-UA"/>
        </w:rPr>
        <w:t>бластного лейкозу до та після використання розроблених схем профілактики та лікування.</w:t>
      </w:r>
    </w:p>
    <w:p w:rsidR="00E62FFC" w:rsidRPr="009F32F4" w:rsidRDefault="00402DC5" w:rsidP="00F468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Методи дослідження</w:t>
      </w:r>
      <w:r w:rsidR="00E62FFC" w:rsidRPr="009F3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лабораторні (біохімічні, імунологічні, біофізи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="00BC3E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ні, мікробіолог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ічні</w:t>
      </w:r>
      <w:r w:rsidR="00E62FFC" w:rsidRPr="009F32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характеристики змін </w:t>
      </w:r>
      <w:r w:rsidR="00CA6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кількісної оцінки дії лікув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льно-профілактичних комплексів (ЛПК) на стан тканин пародонт</w:t>
      </w:r>
      <w:r w:rsidR="00CA6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слизової оболонки порожнини рота, гігієни порожнини рота </w:t>
      </w:r>
      <w:r w:rsidR="00CA6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ротової рідини; клінічні</w:t>
      </w:r>
      <w:r w:rsidR="00E62FFC" w:rsidRPr="009F32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оцінки ефективност</w:t>
      </w:r>
      <w:r w:rsidR="00741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застосування розроблених способів лікування </w:t>
      </w:r>
      <w:r w:rsidR="00CA6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профілактики запальних захворювань тканин пародонт</w:t>
      </w:r>
      <w:r w:rsidR="00CA6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6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6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слизової оболонки порожнини рота</w:t>
      </w:r>
      <w:r w:rsidR="00F4688A" w:rsidRPr="009F32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41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дітей</w:t>
      </w:r>
      <w:r w:rsidR="00CA6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хворих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6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гостри</w:t>
      </w:r>
      <w:r w:rsidR="00CA6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лімфобластни</w:t>
      </w:r>
      <w:r w:rsidR="00CA6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лейкоз; статист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чні </w:t>
      </w:r>
      <w:r w:rsidR="00E62FFC" w:rsidRPr="009F32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визначення достовірності отриманих даних</w:t>
      </w:r>
      <w:r w:rsidR="00E62FFC" w:rsidRPr="009F32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62FFC" w:rsidRPr="00966737" w:rsidRDefault="00401112" w:rsidP="00E27DC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Наукова новизна отриманих результатів</w:t>
      </w:r>
      <w:r w:rsidR="000A6D3F" w:rsidRPr="009667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14F9A" w:rsidRPr="00514F9A" w:rsidRDefault="0052442B" w:rsidP="00514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14F9A" w:rsidRPr="00514F9A">
        <w:rPr>
          <w:rFonts w:ascii="Times New Roman" w:hAnsi="Times New Roman" w:cs="Times New Roman"/>
          <w:sz w:val="28"/>
          <w:szCs w:val="28"/>
          <w:lang w:val="uk-UA"/>
        </w:rPr>
        <w:t>Уточнено клінічні прояви уражень слизової оболонки порожнини рота в дітей з гострим лімфобластним лейкозом і встановлено, що в порожнині рота спостерігалися найбільш важкі ураження у вигляді ерозивно-виразкового (</w:t>
      </w:r>
      <w:r w:rsidR="00514F9A" w:rsidRPr="00514F9A">
        <w:rPr>
          <w:rFonts w:ascii="Times New Roman" w:hAnsi="Times New Roman" w:cs="Times New Roman"/>
          <w:sz w:val="28"/>
          <w:szCs w:val="28"/>
        </w:rPr>
        <w:t>42</w:t>
      </w:r>
      <w:r w:rsidR="00514F9A" w:rsidRPr="00514F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4F9A" w:rsidRPr="00514F9A">
        <w:rPr>
          <w:rFonts w:ascii="Times New Roman" w:hAnsi="Times New Roman" w:cs="Times New Roman"/>
          <w:sz w:val="28"/>
          <w:szCs w:val="28"/>
        </w:rPr>
        <w:t>5</w:t>
      </w:r>
      <w:r w:rsidR="00514F9A"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%), виразково-некротичного (11,9%) і кандидозного стоматиту ( </w:t>
      </w:r>
      <w:r w:rsidR="00514F9A" w:rsidRPr="00514F9A">
        <w:rPr>
          <w:rFonts w:ascii="Times New Roman" w:hAnsi="Times New Roman" w:cs="Times New Roman"/>
          <w:sz w:val="28"/>
          <w:szCs w:val="28"/>
        </w:rPr>
        <w:t>85</w:t>
      </w:r>
      <w:r w:rsidR="00514F9A" w:rsidRPr="00514F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4F9A" w:rsidRPr="00514F9A">
        <w:rPr>
          <w:rFonts w:ascii="Times New Roman" w:hAnsi="Times New Roman" w:cs="Times New Roman"/>
          <w:sz w:val="28"/>
          <w:szCs w:val="28"/>
        </w:rPr>
        <w:t>5</w:t>
      </w:r>
      <w:r w:rsidR="00514F9A" w:rsidRPr="00514F9A">
        <w:rPr>
          <w:rFonts w:ascii="Times New Roman" w:hAnsi="Times New Roman" w:cs="Times New Roman"/>
          <w:sz w:val="28"/>
          <w:szCs w:val="28"/>
          <w:lang w:val="uk-UA"/>
        </w:rPr>
        <w:t>%) в перший гострий період і в період рецидиву гострого лімфобластного лейк</w:t>
      </w:r>
      <w:r w:rsidR="00514F9A" w:rsidRPr="00514F9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4F9A" w:rsidRPr="00514F9A">
        <w:rPr>
          <w:rFonts w:ascii="Times New Roman" w:hAnsi="Times New Roman" w:cs="Times New Roman"/>
          <w:sz w:val="28"/>
          <w:szCs w:val="28"/>
          <w:lang w:val="uk-UA"/>
        </w:rPr>
        <w:t>зу.</w:t>
      </w:r>
      <w:r w:rsidR="00514F9A" w:rsidRPr="00514F9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14F9A" w:rsidRPr="00514F9A" w:rsidRDefault="00514F9A" w:rsidP="00514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       Встановлено нові особливості формування біоценозу в порожнині рота </w:t>
      </w:r>
      <w:r w:rsidR="00D156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 дітей з генералізованим хронічним катаральним гінгівітом, ерозивно-виразковим, кандидозним стоматитом на тлі онкогематологічної патології та визначено пряму залежність ступеня дисбіозу від тяжкості й періоду перебігу гострого лімфобластного лейкозу.</w:t>
      </w:r>
    </w:p>
    <w:p w:rsidR="00514F9A" w:rsidRPr="00514F9A" w:rsidRDefault="00514F9A" w:rsidP="00514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       У клініці отримано нові дані щодо високої клінічної ефективності і вст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новлено виражені протизапальний, протинабряковий і антимікотичний ефе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ти в порожнині рота після застосування розроблених лікувально-профілактичних комплексів з використанням лізоцимвмісного зубного елі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сиру, кверцетин- і поліфенолвмісних мукозальних гелів, антисептика з сум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шшю алкалоїдів сангвінарина і хелеритрина, пробіотичного, кератопласти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ного і протигрибкового препаратів у різні періоди перебігу гострого лімфо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ластного лейкозу, які характеризуються зниженням приросту пародонтал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них індексів кровоточивості, РМА </w:t>
      </w:r>
      <w:r w:rsidR="00D156F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 маркера запалення МДА.</w:t>
      </w:r>
    </w:p>
    <w:p w:rsidR="00514F9A" w:rsidRPr="00514F9A" w:rsidRDefault="00514F9A" w:rsidP="00514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F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Уточнено наукові дані про ступінь дисбіотичних порушень у ротовій п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рожнині в дітей, хворих на гострий лімфобластний лейкоз, та доведено вир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жений вплив на їх корекцію  розробленими лікувально-профілактичними з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ходами, які знижують ступінь дисбіозу в 3 рази.</w:t>
      </w:r>
    </w:p>
    <w:p w:rsidR="00514F9A" w:rsidRPr="00514F9A" w:rsidRDefault="00514F9A" w:rsidP="00514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       Отримано нові наукові дані щодо підвищення неспецифічної резистен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ності в порожнині рота після застосування розроблених лікувально-профілактичних комплексів, які характеризувались підвищенням активності лізоциму </w:t>
      </w:r>
      <w:r w:rsidR="00D156F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 α-дефензинів (HNP 1-3) </w:t>
      </w:r>
      <w:r w:rsidR="00D156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 ротовій рідині.</w:t>
      </w:r>
    </w:p>
    <w:p w:rsidR="00514F9A" w:rsidRPr="00514F9A" w:rsidRDefault="00514F9A" w:rsidP="00514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       Уточнено наукові дані щодо нормалізації енергетичних процесів у кліт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нах букального епітелію (КБЕ), стабілізації ядерного </w:t>
      </w:r>
      <w:r w:rsidR="000977B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 мембранного поте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ціалів у них, що є показником підвищення адаптаційних і функціональних реакцій, починаючи з клітинного рівня, які призводять до підвищення місц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вої неспецифічної резистентності в порожнині рота в дітей з гострим лімфо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ластним лейкозом, особливо виражені зміни фіксувалися в період ремісії о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14F9A">
        <w:rPr>
          <w:rFonts w:ascii="Times New Roman" w:hAnsi="Times New Roman" w:cs="Times New Roman"/>
          <w:sz w:val="28"/>
          <w:szCs w:val="28"/>
          <w:lang w:val="uk-UA"/>
        </w:rPr>
        <w:t>когематологічного захворювання.</w:t>
      </w:r>
    </w:p>
    <w:p w:rsidR="00514F9A" w:rsidRPr="00514F9A" w:rsidRDefault="00514F9A" w:rsidP="00514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F9A">
        <w:rPr>
          <w:rFonts w:ascii="Times New Roman" w:hAnsi="Times New Roman" w:cs="Times New Roman"/>
          <w:sz w:val="28"/>
          <w:szCs w:val="28"/>
          <w:lang w:val="uk-UA"/>
        </w:rPr>
        <w:t xml:space="preserve">       Доповнено наукові дані, що застосування розробленого лікувально-профілактичного комплексу (ЛПК) з метою профілактики ускладнень, які виникають на тлі лікування гострого лімфобластного лейкозу, призводить до активації антиоксидантної системи.</w:t>
      </w:r>
    </w:p>
    <w:p w:rsidR="00E62FFC" w:rsidRPr="008213D8" w:rsidRDefault="00C81AE8" w:rsidP="00E27DC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E5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Практичн</w:t>
      </w:r>
      <w:r w:rsidR="00A674E4" w:rsidRPr="00AE5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</w:t>
      </w:r>
      <w:r w:rsidRPr="00AE5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77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знач</w:t>
      </w:r>
      <w:r w:rsidR="009F32F4" w:rsidRPr="00177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ення</w:t>
      </w:r>
      <w:r w:rsidRPr="00AE5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отриманих результатів.</w:t>
      </w:r>
    </w:p>
    <w:p w:rsidR="002E1AB7" w:rsidRPr="008213D8" w:rsidRDefault="00C81AE8" w:rsidP="00E27DC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Отримані результати за </w:t>
      </w:r>
      <w:r w:rsidR="00775D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поширеністю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5D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частотою ускладнень при 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</w:t>
      </w:r>
      <w:r w:rsidR="00003D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дітей з ГЛЛ дають під</w:t>
      </w:r>
      <w:r w:rsidR="00775D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склад</w:t>
      </w:r>
      <w:r w:rsidR="00741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лікувально-профілактичних заходів у гематологічних відділеннях</w:t>
      </w:r>
      <w:r w:rsidR="002E1AB7" w:rsidRPr="00821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D1F62" w:rsidRPr="008213D8" w:rsidRDefault="00C81AE8" w:rsidP="00E27DC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Доведен</w:t>
      </w:r>
      <w:r w:rsidR="00775D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висок</w:t>
      </w:r>
      <w:r w:rsidR="00775D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клінічн</w:t>
      </w:r>
      <w:r w:rsidR="00775D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ефективність використання лікувально-профілактичних комплексів, що містять зубний еліксир, мукозальні гелі,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тисептик, кератопластичний, пробіотичний </w:t>
      </w:r>
      <w:r w:rsidR="00775D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протигрибковий препарати </w:t>
      </w:r>
      <w:r w:rsidR="00741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профілактиці ускладнень при лікуванні запальних, ерозивно-виразкових </w:t>
      </w:r>
      <w:r w:rsidR="00775D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</w:t>
      </w:r>
      <w:r w:rsidR="00BC3E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дозних стоматитів у дітей</w:t>
      </w:r>
      <w:r w:rsidR="00CD1F62" w:rsidRPr="008213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D1F62" w:rsidRPr="00C81AE8" w:rsidRDefault="00C81AE8" w:rsidP="00E27DC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розроблених лікувально-профілактичних заходів з викор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станням авторських ЛПК дозволяє нормалізувати стан біоценозу, підвищити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рівень неспецифічної резистентності </w:t>
      </w:r>
      <w:r w:rsidR="00741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порожнині рота </w:t>
      </w:r>
      <w:r w:rsidR="00741A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дітей з онкогемат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логічними захворюваннями.</w:t>
      </w:r>
    </w:p>
    <w:p w:rsidR="009F32F4" w:rsidRPr="009F32F4" w:rsidRDefault="009F32F4" w:rsidP="00A674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27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Запропоновані лікувально-профілактичні комплекси впроваджено в клінічну практику </w:t>
      </w:r>
      <w:r w:rsidRPr="009F32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КЗ «Дніпропетровська міська  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дитяча стоматологічна п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ліклініка №1» ДОР»,</w:t>
      </w:r>
      <w:r w:rsidRPr="009F32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КЗ «Дніпропетровська міська  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дитяча стоматологічна поліклініка №2» ДОР»,</w:t>
      </w:r>
      <w:r w:rsidRPr="009F32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КЗ «Дніпропетровська  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дитяча стоматологічна полі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лініка №3» ДОР»,</w:t>
      </w:r>
      <w:r w:rsidR="00D7439D" w:rsidRPr="00D7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39D">
        <w:rPr>
          <w:rFonts w:ascii="Times New Roman" w:hAnsi="Times New Roman" w:cs="Times New Roman"/>
          <w:sz w:val="28"/>
          <w:szCs w:val="28"/>
          <w:lang w:val="uk-UA"/>
        </w:rPr>
        <w:t xml:space="preserve">КЗ «Дитяча  міська  клінічна стоматологічна поліклініка м. Полтави»,  </w:t>
      </w:r>
      <w:r w:rsidRPr="009F32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КЗ «Криворізька  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дитяча стоматологічна поліклініка» ДОР», д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тячі відділення КЗ «Криворізька міська стоматологічна клінічна по</w:t>
      </w:r>
      <w:r w:rsidR="00D7439D">
        <w:rPr>
          <w:rFonts w:ascii="Times New Roman" w:hAnsi="Times New Roman" w:cs="Times New Roman"/>
          <w:sz w:val="28"/>
          <w:szCs w:val="28"/>
          <w:lang w:val="uk-UA"/>
        </w:rPr>
        <w:t xml:space="preserve">ліклініка №1» ДОР» та 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КЗ «Криворізька міська стоматологічна  поліклініка №5» ДОР»</w:t>
      </w:r>
      <w:r w:rsidR="00D743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у відділенні стоматології дитячого віку та ортодонтії ДУ «Інститут стоматології та щелепно-лицевої хірургії» НАМН України.</w:t>
      </w:r>
    </w:p>
    <w:p w:rsidR="009F32F4" w:rsidRPr="009F32F4" w:rsidRDefault="009F32F4" w:rsidP="00A674E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C0504D"/>
          <w:sz w:val="28"/>
          <w:szCs w:val="28"/>
          <w:lang w:val="uk-UA"/>
        </w:rPr>
      </w:pPr>
      <w:r w:rsidRPr="009F32F4"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впроваджен</w:t>
      </w:r>
      <w:r w:rsidR="00775DD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 xml:space="preserve"> й використовуються </w:t>
      </w:r>
      <w:r w:rsidR="00D156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процесі кафедри дитячої терапевтичної стоматології з профілактикою стом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тологічних захворювань ВДНЗУ «Українська медична стоматологічна акад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 xml:space="preserve">мія МОЗ України» та </w:t>
      </w:r>
      <w:r w:rsidRPr="009F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кафедри стоматології дитячого віку Одеського націон</w:t>
      </w:r>
      <w:r w:rsidRPr="009F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9F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льного медичного університету.</w:t>
      </w:r>
    </w:p>
    <w:p w:rsidR="00E62FFC" w:rsidRPr="00966737" w:rsidRDefault="00485996" w:rsidP="00E27DC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Особистий внесок автора</w:t>
      </w:r>
      <w:r w:rsidR="00E62FFC" w:rsidRPr="009667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F32F4" w:rsidRPr="009F32F4" w:rsidRDefault="009F32F4" w:rsidP="009F3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2F4">
        <w:rPr>
          <w:rFonts w:ascii="Times New Roman" w:hAnsi="Times New Roman" w:cs="Times New Roman"/>
          <w:sz w:val="28"/>
          <w:szCs w:val="28"/>
          <w:lang w:val="uk-UA"/>
        </w:rPr>
        <w:t>Автором особисто проведено патентно-інформаційний пошук, оброблено і проаналізовано наукову літературу з теми дисертації, самостійно проведені всі клінічні дослідження. Розроблено та впроваджено в клінічну практику схеми профілактики та лікування уражень слизової оболонки порожнини р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та в дітей, хворих на гострий лімфобластний лейкоз у різні періоди перебігу. Проаналізовано та узагальнено отримані результати досліджень, проведено їх статистичну обробку. Складено текст і оформлено дисертацію. Спільно з н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32F4">
        <w:rPr>
          <w:rFonts w:ascii="Times New Roman" w:hAnsi="Times New Roman" w:cs="Times New Roman"/>
          <w:sz w:val="28"/>
          <w:szCs w:val="28"/>
          <w:lang w:val="uk-UA"/>
        </w:rPr>
        <w:t>уковим керівником сформульовано висновки й практичні рекомендації.</w:t>
      </w:r>
    </w:p>
    <w:p w:rsidR="00E641B4" w:rsidRPr="00600586" w:rsidRDefault="00485996" w:rsidP="006005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Апробація результатів дисертації</w:t>
      </w:r>
      <w:r w:rsidR="00E62FFC" w:rsidRPr="003342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>Основні положення дисертації повідо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 xml:space="preserve">лені та обговорювалися   на Міжнародному Конгресі стоматологів «Кариес зубов и его осложнения в возрастном аспекте. Инновации в стоматологии» 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lastRenderedPageBreak/>
        <w:t>(м. Алмати, 13-15 травня 2015р.), IV Російсько – Європейському конгресі з дитячої стоматології «Стоматология детского возраста и профилактика ст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>матологических заболеваний» (м. Москва, 28 – 30 вересня 2015 р.), Міжнар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>дній науково-практичній конференції «Актуальні питання клінічної медиц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>ни та післядипломної освіти», присвяченій 40-й  річниці відкриття кафедри стоматології ФПО ДЗ «ДМА МОЗУ» (м. Кривий Ріг, 13 травня 2016 р.), на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>ково-практичній конференції з міжнародною участю, присвяченій 75-річчю професора</w:t>
      </w:r>
      <w:r w:rsidR="00600586" w:rsidRPr="00600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1B4" w:rsidRPr="00600586">
        <w:rPr>
          <w:rFonts w:ascii="Times New Roman" w:hAnsi="Times New Roman" w:cs="Times New Roman"/>
          <w:sz w:val="28"/>
          <w:szCs w:val="28"/>
          <w:lang w:val="uk-UA"/>
        </w:rPr>
        <w:t>Г.П.Рузіна (м. Харків, 11 травня 2016 р.), науково-практичній конференції з міжнародною участю «Досягнення та перспективи розвитку стоматології дитячого віку» (м. Полтава, 6-7 жовтня 2016 р.).</w:t>
      </w:r>
    </w:p>
    <w:p w:rsidR="009F32F4" w:rsidRPr="009F32F4" w:rsidRDefault="00485996" w:rsidP="006005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0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Публікації</w:t>
      </w:r>
      <w:r w:rsidR="00E62FFC" w:rsidRPr="00A310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BC3E00" w:rsidRPr="00A310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F32F4" w:rsidRPr="009F32F4">
        <w:rPr>
          <w:rFonts w:ascii="Times New Roman" w:hAnsi="Times New Roman" w:cs="Times New Roman"/>
          <w:sz w:val="28"/>
          <w:szCs w:val="28"/>
          <w:lang w:val="uk-UA"/>
        </w:rPr>
        <w:t>За темою дисертації опубліковано 10 друкованих праць: 8 друк</w:t>
      </w:r>
      <w:r w:rsidR="009F32F4" w:rsidRPr="009F32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F32F4" w:rsidRPr="009F32F4">
        <w:rPr>
          <w:rFonts w:ascii="Times New Roman" w:hAnsi="Times New Roman" w:cs="Times New Roman"/>
          <w:sz w:val="28"/>
          <w:szCs w:val="28"/>
          <w:lang w:val="uk-UA"/>
        </w:rPr>
        <w:t>ваних робіт у фахових наукових виданнях, 2 тез у матеріалах наукових ко</w:t>
      </w:r>
      <w:r w:rsidR="009F32F4" w:rsidRPr="009F32F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F32F4" w:rsidRPr="009F32F4">
        <w:rPr>
          <w:rFonts w:ascii="Times New Roman" w:hAnsi="Times New Roman" w:cs="Times New Roman"/>
          <w:sz w:val="28"/>
          <w:szCs w:val="28"/>
          <w:lang w:val="uk-UA"/>
        </w:rPr>
        <w:t>ференцій.</w:t>
      </w:r>
    </w:p>
    <w:p w:rsidR="00BC3E00" w:rsidRDefault="00BC3E00" w:rsidP="009F32F4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6D1FE3" w:rsidRPr="00966737" w:rsidRDefault="0033420E" w:rsidP="00BC3E00">
      <w:pPr>
        <w:spacing w:after="0" w:line="36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</w:t>
      </w:r>
      <w:r w:rsidR="006D1FE3" w:rsidRPr="007536AF">
        <w:rPr>
          <w:rFonts w:ascii="Times New Roman" w:hAnsi="Times New Roman" w:cs="Times New Roman"/>
          <w:b/>
          <w:sz w:val="28"/>
          <w:szCs w:val="28"/>
        </w:rPr>
        <w:t>1</w:t>
      </w:r>
    </w:p>
    <w:p w:rsidR="006D1FE3" w:rsidRPr="00966737" w:rsidRDefault="0033420E" w:rsidP="00E27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СУЧАСНЕ ПОДАННЯ ПИТАННЯ ПРО СТАН СОПР</w:t>
      </w:r>
      <w:r w:rsidR="00B25D8D" w:rsidRPr="00B25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5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ДІТЕЙ,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5D8D">
        <w:rPr>
          <w:rFonts w:ascii="Times New Roman" w:hAnsi="Times New Roman" w:cs="Times New Roman"/>
          <w:b/>
          <w:sz w:val="28"/>
          <w:szCs w:val="28"/>
          <w:lang w:val="uk-UA"/>
        </w:rPr>
        <w:t>ЩО ХВОРІЮТЬ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ГОСТРИ</w:t>
      </w:r>
      <w:r w:rsidR="00B25D8D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ЛІМФОБЛАСТНИ</w:t>
      </w:r>
      <w:r w:rsidR="00B25D8D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ЛЕЙКОЗ </w:t>
      </w:r>
    </w:p>
    <w:p w:rsidR="006D1FE3" w:rsidRPr="00966737" w:rsidRDefault="006D1FE3" w:rsidP="00E27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37">
        <w:rPr>
          <w:rFonts w:ascii="Times New Roman" w:hAnsi="Times New Roman" w:cs="Times New Roman"/>
          <w:b/>
          <w:sz w:val="28"/>
          <w:szCs w:val="28"/>
        </w:rPr>
        <w:t>(</w:t>
      </w:r>
      <w:r w:rsidR="0033420E">
        <w:rPr>
          <w:rFonts w:ascii="Times New Roman" w:hAnsi="Times New Roman" w:cs="Times New Roman"/>
          <w:b/>
          <w:sz w:val="28"/>
          <w:szCs w:val="28"/>
          <w:lang w:val="uk-UA"/>
        </w:rPr>
        <w:t>ОГЛЯД ЛІТЕРАТУРИ</w:t>
      </w:r>
      <w:r w:rsidRPr="00966737">
        <w:rPr>
          <w:rFonts w:ascii="Times New Roman" w:hAnsi="Times New Roman" w:cs="Times New Roman"/>
          <w:b/>
          <w:sz w:val="28"/>
          <w:szCs w:val="28"/>
        </w:rPr>
        <w:t>)</w:t>
      </w:r>
    </w:p>
    <w:p w:rsidR="006D1FE3" w:rsidRPr="00966737" w:rsidRDefault="006D1FE3" w:rsidP="00E27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FE3" w:rsidRPr="00966737" w:rsidRDefault="006D1FE3" w:rsidP="00E27DC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6737">
        <w:rPr>
          <w:rFonts w:ascii="Times New Roman" w:hAnsi="Times New Roman" w:cs="Times New Roman"/>
          <w:b/>
          <w:sz w:val="28"/>
          <w:szCs w:val="28"/>
        </w:rPr>
        <w:t xml:space="preserve">1.1.  </w:t>
      </w:r>
      <w:r w:rsidR="0033420E">
        <w:rPr>
          <w:rFonts w:ascii="Times New Roman" w:hAnsi="Times New Roman" w:cs="Times New Roman"/>
          <w:b/>
          <w:sz w:val="28"/>
          <w:szCs w:val="28"/>
          <w:lang w:val="uk-UA"/>
        </w:rPr>
        <w:t>Частота виникнення та клінічний прояв уражень СОПР</w:t>
      </w:r>
      <w:r w:rsidR="00B25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42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</w:t>
      </w:r>
      <w:r w:rsidR="0033420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3420E">
        <w:rPr>
          <w:rFonts w:ascii="Times New Roman" w:hAnsi="Times New Roman" w:cs="Times New Roman"/>
          <w:b/>
          <w:sz w:val="28"/>
          <w:szCs w:val="28"/>
          <w:lang w:val="uk-UA"/>
        </w:rPr>
        <w:t>тей із гострим лімфобластним лейкозом</w:t>
      </w:r>
      <w:r w:rsidRPr="00966737">
        <w:rPr>
          <w:rFonts w:ascii="Times New Roman" w:hAnsi="Times New Roman" w:cs="Times New Roman"/>
          <w:b/>
          <w:sz w:val="28"/>
          <w:szCs w:val="28"/>
        </w:rPr>
        <w:t>.</w:t>
      </w:r>
    </w:p>
    <w:p w:rsidR="006D1FE3" w:rsidRPr="00966737" w:rsidRDefault="0033420E" w:rsidP="00E27DC6">
      <w:pPr>
        <w:pStyle w:val="a9"/>
        <w:shd w:val="clear" w:color="auto" w:fill="auto"/>
        <w:spacing w:before="0" w:after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Ураження слизової оболонки порожнини рота при онкогематологічних захворюваннях є предметом пильної уваги вчених</w:t>
      </w:r>
      <w:r w:rsidR="006D1FE3" w:rsidRPr="00966737">
        <w:rPr>
          <w:sz w:val="28"/>
          <w:szCs w:val="28"/>
        </w:rPr>
        <w:t xml:space="preserve"> [26-43].</w:t>
      </w:r>
    </w:p>
    <w:p w:rsidR="006D1FE3" w:rsidRPr="00966737" w:rsidRDefault="0033420E" w:rsidP="00E27DC6">
      <w:pPr>
        <w:pStyle w:val="a9"/>
        <w:shd w:val="clear" w:color="auto" w:fill="auto"/>
        <w:spacing w:before="0" w:after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Дослідження різних авторів встановили, що зміни СОПР при гострому </w:t>
      </w:r>
      <w:r w:rsidR="00AF69B8" w:rsidRPr="00D652F0">
        <w:rPr>
          <w:sz w:val="28"/>
          <w:szCs w:val="28"/>
          <w:lang w:val="uk-UA"/>
        </w:rPr>
        <w:t>л</w:t>
      </w:r>
      <w:r w:rsidRPr="00D652F0">
        <w:rPr>
          <w:sz w:val="28"/>
          <w:szCs w:val="28"/>
          <w:lang w:val="uk-UA"/>
        </w:rPr>
        <w:t>імфобластному лейкозі</w:t>
      </w:r>
      <w:r>
        <w:rPr>
          <w:sz w:val="28"/>
          <w:szCs w:val="28"/>
          <w:lang w:val="uk-UA"/>
        </w:rPr>
        <w:t xml:space="preserve"> спостерігаються у </w:t>
      </w:r>
      <w:r w:rsidR="006D1FE3" w:rsidRPr="00966737">
        <w:rPr>
          <w:sz w:val="28"/>
          <w:szCs w:val="28"/>
        </w:rPr>
        <w:t xml:space="preserve">72-91% </w:t>
      </w:r>
      <w:r>
        <w:rPr>
          <w:sz w:val="28"/>
          <w:szCs w:val="28"/>
          <w:lang w:val="uk-UA"/>
        </w:rPr>
        <w:t>випадків</w:t>
      </w:r>
      <w:r w:rsidR="006D1FE3" w:rsidRPr="00966737">
        <w:rPr>
          <w:sz w:val="28"/>
          <w:szCs w:val="28"/>
        </w:rPr>
        <w:t xml:space="preserve"> [44-49].</w:t>
      </w:r>
    </w:p>
    <w:p w:rsidR="006D1FE3" w:rsidRPr="00966737" w:rsidRDefault="00B77E2C" w:rsidP="00B77E2C">
      <w:pPr>
        <w:pStyle w:val="a9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33420E">
        <w:rPr>
          <w:sz w:val="28"/>
          <w:szCs w:val="28"/>
          <w:lang w:val="uk-UA"/>
        </w:rPr>
        <w:t>Гемобластози мають як загальносоматичні прояви, так і симптоматичні на СОПР, такі як</w:t>
      </w:r>
      <w:r w:rsidR="006D1FE3" w:rsidRPr="00966737">
        <w:rPr>
          <w:sz w:val="28"/>
          <w:szCs w:val="28"/>
        </w:rPr>
        <w:t xml:space="preserve">: </w:t>
      </w:r>
      <w:r w:rsidR="0033420E">
        <w:rPr>
          <w:sz w:val="28"/>
          <w:szCs w:val="28"/>
          <w:lang w:val="uk-UA"/>
        </w:rPr>
        <w:t>гіперплазія ясен, виразково-некротичний стоматит, сухість у порожнині рота, порушення смакової чутливості, зуд у яснах</w:t>
      </w:r>
      <w:r w:rsidR="006D1FE3" w:rsidRPr="00966737">
        <w:rPr>
          <w:sz w:val="28"/>
          <w:szCs w:val="28"/>
        </w:rPr>
        <w:t>.</w:t>
      </w:r>
      <w:r w:rsidR="0033420E">
        <w:rPr>
          <w:sz w:val="28"/>
          <w:szCs w:val="28"/>
          <w:lang w:val="uk-UA"/>
        </w:rPr>
        <w:t xml:space="preserve"> Геморагічний синдром може проявлятися у вигляді кровоточіння ясен, профузних кровотеч </w:t>
      </w:r>
      <w:r w:rsidR="006D1FE3" w:rsidRPr="00966737">
        <w:rPr>
          <w:sz w:val="28"/>
          <w:szCs w:val="28"/>
        </w:rPr>
        <w:t xml:space="preserve">(у 10 % </w:t>
      </w:r>
      <w:r w:rsidR="0033420E">
        <w:rPr>
          <w:sz w:val="28"/>
          <w:szCs w:val="28"/>
          <w:lang w:val="uk-UA"/>
        </w:rPr>
        <w:t>хворих</w:t>
      </w:r>
      <w:r w:rsidR="006D1FE3" w:rsidRPr="00966737">
        <w:rPr>
          <w:sz w:val="28"/>
          <w:szCs w:val="28"/>
        </w:rPr>
        <w:t xml:space="preserve">) </w:t>
      </w:r>
      <w:r w:rsidR="0033420E">
        <w:rPr>
          <w:sz w:val="28"/>
          <w:szCs w:val="28"/>
          <w:lang w:val="uk-UA"/>
        </w:rPr>
        <w:t xml:space="preserve">або у вигляді геморагічного сипу на </w:t>
      </w:r>
      <w:r w:rsidR="006D1FE3" w:rsidRPr="00966737">
        <w:rPr>
          <w:sz w:val="28"/>
          <w:szCs w:val="28"/>
        </w:rPr>
        <w:t xml:space="preserve">СОПР. </w:t>
      </w:r>
      <w:r w:rsidR="0033420E">
        <w:rPr>
          <w:sz w:val="28"/>
          <w:szCs w:val="28"/>
          <w:lang w:val="uk-UA"/>
        </w:rPr>
        <w:t>Крім того, у хв</w:t>
      </w:r>
      <w:r w:rsidR="0033420E">
        <w:rPr>
          <w:sz w:val="28"/>
          <w:szCs w:val="28"/>
          <w:lang w:val="uk-UA"/>
        </w:rPr>
        <w:t>о</w:t>
      </w:r>
      <w:r w:rsidR="0033420E">
        <w:rPr>
          <w:sz w:val="28"/>
          <w:szCs w:val="28"/>
          <w:lang w:val="uk-UA"/>
        </w:rPr>
        <w:t>рих спостерігається збільшення регіонарних лімфовузлів</w:t>
      </w:r>
      <w:r w:rsidR="006D1FE3" w:rsidRPr="00966737">
        <w:rPr>
          <w:sz w:val="28"/>
          <w:szCs w:val="28"/>
        </w:rPr>
        <w:t xml:space="preserve"> [50-54].</w:t>
      </w:r>
    </w:p>
    <w:p w:rsidR="006D1FE3" w:rsidRPr="00966737" w:rsidRDefault="00B77E2C" w:rsidP="00B77E2C">
      <w:pPr>
        <w:pStyle w:val="a9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33420E">
        <w:rPr>
          <w:sz w:val="28"/>
          <w:szCs w:val="28"/>
          <w:lang w:val="uk-UA"/>
        </w:rPr>
        <w:t>Факт виникнення патологічних змін на</w:t>
      </w:r>
      <w:r>
        <w:rPr>
          <w:sz w:val="28"/>
          <w:szCs w:val="28"/>
          <w:lang w:val="uk-UA"/>
        </w:rPr>
        <w:t xml:space="preserve"> </w:t>
      </w:r>
      <w:r w:rsidR="0033420E">
        <w:rPr>
          <w:sz w:val="28"/>
          <w:szCs w:val="28"/>
          <w:lang w:val="uk-UA"/>
        </w:rPr>
        <w:t xml:space="preserve"> </w:t>
      </w:r>
      <w:r w:rsidR="0033420E" w:rsidRPr="00797B32">
        <w:rPr>
          <w:sz w:val="28"/>
          <w:szCs w:val="28"/>
          <w:lang w:val="uk-UA"/>
        </w:rPr>
        <w:t xml:space="preserve">СОПР </w:t>
      </w:r>
      <w:r w:rsidR="006D1FE3" w:rsidRPr="00B77E2C">
        <w:rPr>
          <w:sz w:val="28"/>
          <w:szCs w:val="28"/>
          <w:lang w:val="uk-UA"/>
        </w:rPr>
        <w:t>Ю.</w:t>
      </w:r>
      <w:r w:rsidR="007365EB" w:rsidRPr="00B77E2C">
        <w:rPr>
          <w:sz w:val="28"/>
          <w:szCs w:val="28"/>
          <w:lang w:val="uk-UA"/>
        </w:rPr>
        <w:t xml:space="preserve"> </w:t>
      </w:r>
      <w:r w:rsidR="006D1FE3" w:rsidRPr="00B77E2C">
        <w:rPr>
          <w:sz w:val="28"/>
          <w:szCs w:val="28"/>
          <w:lang w:val="uk-UA"/>
        </w:rPr>
        <w:t>Я.</w:t>
      </w:r>
      <w:r w:rsidR="00797B32">
        <w:rPr>
          <w:sz w:val="28"/>
          <w:szCs w:val="28"/>
          <w:lang w:val="uk-UA"/>
        </w:rPr>
        <w:t> </w:t>
      </w:r>
      <w:r w:rsidR="006D1FE3" w:rsidRPr="00B77E2C">
        <w:rPr>
          <w:sz w:val="28"/>
          <w:szCs w:val="28"/>
          <w:lang w:val="uk-UA"/>
        </w:rPr>
        <w:t>Ашмар</w:t>
      </w:r>
      <w:r w:rsidR="0033420E">
        <w:rPr>
          <w:sz w:val="28"/>
          <w:szCs w:val="28"/>
          <w:lang w:val="uk-UA"/>
        </w:rPr>
        <w:t>і</w:t>
      </w:r>
      <w:r w:rsidR="006D1FE3" w:rsidRPr="00B77E2C">
        <w:rPr>
          <w:sz w:val="28"/>
          <w:szCs w:val="28"/>
          <w:lang w:val="uk-UA"/>
        </w:rPr>
        <w:t xml:space="preserve">н (1972) </w:t>
      </w:r>
      <w:r w:rsidR="0033420E">
        <w:rPr>
          <w:sz w:val="28"/>
          <w:szCs w:val="28"/>
          <w:lang w:val="uk-UA"/>
        </w:rPr>
        <w:t>п</w:t>
      </w:r>
      <w:r w:rsidR="0033420E">
        <w:rPr>
          <w:sz w:val="28"/>
          <w:szCs w:val="28"/>
          <w:lang w:val="uk-UA"/>
        </w:rPr>
        <w:t>о</w:t>
      </w:r>
      <w:r w:rsidR="0033420E">
        <w:rPr>
          <w:sz w:val="28"/>
          <w:szCs w:val="28"/>
          <w:lang w:val="uk-UA"/>
        </w:rPr>
        <w:t xml:space="preserve">яснює тим, що дерма та слизові оболонки, як і кров, являють собою одну з форм </w:t>
      </w:r>
      <w:r>
        <w:rPr>
          <w:sz w:val="28"/>
          <w:szCs w:val="28"/>
          <w:lang w:val="uk-UA"/>
        </w:rPr>
        <w:t xml:space="preserve"> </w:t>
      </w:r>
      <w:r w:rsidR="0033420E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 </w:t>
      </w:r>
      <w:r w:rsidR="0033420E">
        <w:rPr>
          <w:sz w:val="28"/>
          <w:szCs w:val="28"/>
          <w:lang w:val="uk-UA"/>
        </w:rPr>
        <w:t>з</w:t>
      </w:r>
      <w:r w:rsidR="0033420E" w:rsidRPr="00B77E2C">
        <w:rPr>
          <w:sz w:val="28"/>
          <w:szCs w:val="28"/>
          <w:lang w:val="uk-UA"/>
        </w:rPr>
        <w:t>'</w:t>
      </w:r>
      <w:r w:rsidR="0033420E">
        <w:rPr>
          <w:sz w:val="28"/>
          <w:szCs w:val="28"/>
          <w:lang w:val="uk-UA"/>
        </w:rPr>
        <w:t xml:space="preserve">єднувальної </w:t>
      </w:r>
      <w:r>
        <w:rPr>
          <w:sz w:val="28"/>
          <w:szCs w:val="28"/>
          <w:lang w:val="uk-UA"/>
        </w:rPr>
        <w:t xml:space="preserve"> </w:t>
      </w:r>
      <w:r w:rsidR="0033420E">
        <w:rPr>
          <w:sz w:val="28"/>
          <w:szCs w:val="28"/>
          <w:lang w:val="uk-UA"/>
        </w:rPr>
        <w:t>тканини.</w:t>
      </w:r>
      <w:r>
        <w:rPr>
          <w:sz w:val="28"/>
          <w:szCs w:val="28"/>
          <w:lang w:val="uk-UA"/>
        </w:rPr>
        <w:t xml:space="preserve"> </w:t>
      </w:r>
      <w:r w:rsidR="00797B32">
        <w:rPr>
          <w:sz w:val="28"/>
          <w:szCs w:val="28"/>
          <w:lang w:val="uk-UA"/>
        </w:rPr>
        <w:t xml:space="preserve"> </w:t>
      </w:r>
      <w:r w:rsidR="0033420E">
        <w:rPr>
          <w:sz w:val="28"/>
          <w:szCs w:val="28"/>
          <w:lang w:val="uk-UA"/>
        </w:rPr>
        <w:t xml:space="preserve">Єдність </w:t>
      </w:r>
      <w:r>
        <w:rPr>
          <w:sz w:val="28"/>
          <w:szCs w:val="28"/>
          <w:lang w:val="uk-UA"/>
        </w:rPr>
        <w:t xml:space="preserve"> </w:t>
      </w:r>
      <w:r w:rsidR="0033420E">
        <w:rPr>
          <w:sz w:val="28"/>
          <w:szCs w:val="28"/>
          <w:lang w:val="uk-UA"/>
        </w:rPr>
        <w:t>джерела походження з</w:t>
      </w:r>
      <w:r w:rsidR="0033420E" w:rsidRPr="0033420E">
        <w:rPr>
          <w:sz w:val="28"/>
          <w:szCs w:val="28"/>
        </w:rPr>
        <w:t>'</w:t>
      </w:r>
      <w:r w:rsidR="0033420E">
        <w:rPr>
          <w:sz w:val="28"/>
          <w:szCs w:val="28"/>
          <w:lang w:val="uk-UA"/>
        </w:rPr>
        <w:t>є</w:t>
      </w:r>
      <w:r w:rsidR="0033420E">
        <w:rPr>
          <w:sz w:val="28"/>
          <w:szCs w:val="28"/>
          <w:lang w:val="uk-UA"/>
        </w:rPr>
        <w:t>д</w:t>
      </w:r>
      <w:r w:rsidR="0033420E">
        <w:rPr>
          <w:sz w:val="28"/>
          <w:szCs w:val="28"/>
          <w:lang w:val="uk-UA"/>
        </w:rPr>
        <w:t xml:space="preserve">нувальної тканини та кровотворних органів (мезодерма) визначає розвиток лейкозних проліфератів у першу чергу </w:t>
      </w:r>
      <w:r>
        <w:rPr>
          <w:sz w:val="28"/>
          <w:szCs w:val="28"/>
          <w:lang w:val="uk-UA"/>
        </w:rPr>
        <w:t>в</w:t>
      </w:r>
      <w:r w:rsidR="0033420E">
        <w:rPr>
          <w:sz w:val="28"/>
          <w:szCs w:val="28"/>
          <w:lang w:val="uk-UA"/>
        </w:rPr>
        <w:t xml:space="preserve"> тих органах та тканинах, які багаті </w:t>
      </w:r>
      <w:r w:rsidR="00642B57">
        <w:rPr>
          <w:sz w:val="28"/>
          <w:szCs w:val="28"/>
          <w:lang w:val="uk-UA"/>
        </w:rPr>
        <w:t>стромою, до числа яких відносяться слизові оболонки</w:t>
      </w:r>
      <w:r w:rsidR="006D1FE3" w:rsidRPr="00966737">
        <w:rPr>
          <w:sz w:val="28"/>
          <w:szCs w:val="28"/>
        </w:rPr>
        <w:t>.</w:t>
      </w:r>
    </w:p>
    <w:p w:rsidR="006D1FE3" w:rsidRPr="00966737" w:rsidRDefault="00642B57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Геморагічний синдром спостерігається в середньому </w:t>
      </w:r>
      <w:r w:rsidR="00B77E2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</w:rPr>
        <w:t xml:space="preserve">50-70% </w:t>
      </w:r>
      <w:r>
        <w:rPr>
          <w:sz w:val="28"/>
          <w:szCs w:val="28"/>
          <w:lang w:val="uk-UA"/>
        </w:rPr>
        <w:t xml:space="preserve">хворих </w:t>
      </w:r>
      <w:r w:rsidR="00B77E2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гостр</w:t>
      </w:r>
      <w:r w:rsidR="00B77E2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лейкоз</w:t>
      </w:r>
      <w:r w:rsidR="00B77E2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</w:rPr>
        <w:t xml:space="preserve">[55-59]. </w:t>
      </w:r>
      <w:r>
        <w:rPr>
          <w:sz w:val="28"/>
          <w:szCs w:val="28"/>
          <w:lang w:val="uk-UA"/>
        </w:rPr>
        <w:t xml:space="preserve">Фактором розвитку кровоточивості та уражень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 xml:space="preserve">є порушення </w:t>
      </w:r>
      <w:r w:rsidR="00B77E2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системі мікроциркуляції, про що свідчать дані реогр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фічних та біомікроскопічних досліджень</w:t>
      </w:r>
      <w:r w:rsidR="00797B32"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</w:rPr>
        <w:t>[60].</w:t>
      </w:r>
    </w:p>
    <w:p w:rsidR="006D1FE3" w:rsidRPr="00966737" w:rsidRDefault="00642B57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Одним з основних проявів геморагічного синдрому на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>є значна кровоточивість ясен при торканні, при</w:t>
      </w:r>
      <w:r w:rsidR="005475B6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омі їжі або навіть мимовільно </w:t>
      </w:r>
      <w:r w:rsidR="006D1FE3" w:rsidRPr="00966737">
        <w:rPr>
          <w:sz w:val="28"/>
          <w:szCs w:val="28"/>
        </w:rPr>
        <w:t>[61].</w:t>
      </w:r>
    </w:p>
    <w:p w:rsidR="006D1FE3" w:rsidRPr="00966737" w:rsidRDefault="00642B57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Кровоточивість ясен, що з</w:t>
      </w:r>
      <w:r w:rsidR="000205E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явилася раптово, може бути одним з прові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ників захворювання на фоні загальної слабкості, б</w:t>
      </w:r>
      <w:r w:rsidR="00797B32">
        <w:rPr>
          <w:sz w:val="28"/>
          <w:szCs w:val="28"/>
          <w:lang w:val="uk-UA"/>
        </w:rPr>
        <w:t>олі</w:t>
      </w:r>
      <w:r>
        <w:rPr>
          <w:sz w:val="28"/>
          <w:szCs w:val="28"/>
          <w:lang w:val="uk-UA"/>
        </w:rPr>
        <w:t xml:space="preserve"> </w:t>
      </w:r>
      <w:r w:rsidR="004A78D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кістках та підвищення температури. Крім кровоточивості ясен</w:t>
      </w:r>
      <w:r w:rsidR="004A78D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даний синдром може п</w:t>
      </w:r>
      <w:r w:rsidR="004A78DE">
        <w:rPr>
          <w:sz w:val="28"/>
          <w:szCs w:val="28"/>
          <w:lang w:val="uk-UA"/>
        </w:rPr>
        <w:t>роявлятися у вигляді внутрішньо</w:t>
      </w:r>
      <w:r>
        <w:rPr>
          <w:sz w:val="28"/>
          <w:szCs w:val="28"/>
          <w:lang w:val="uk-UA"/>
        </w:rPr>
        <w:t>слизових крововиливів та геморагічних міхурів, на місці яких пізніше виникають ерозії та виразки, що кровоточать</w:t>
      </w:r>
      <w:r w:rsidR="006D1FE3" w:rsidRPr="00642B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При виникненні кровотеч у хворих</w:t>
      </w:r>
      <w:r w:rsidR="004A78DE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гостр</w:t>
      </w:r>
      <w:r w:rsidR="004A78D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лейкози</w:t>
      </w:r>
      <w:r w:rsidR="00797B3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їх інтенсивність часто </w:t>
      </w:r>
      <w:r w:rsidRPr="00E12E11">
        <w:rPr>
          <w:sz w:val="28"/>
          <w:szCs w:val="28"/>
          <w:lang w:val="uk-UA"/>
        </w:rPr>
        <w:t>є неадекватною характеру травми</w:t>
      </w:r>
      <w:r w:rsidR="006D1FE3" w:rsidRPr="00E12E11">
        <w:rPr>
          <w:sz w:val="28"/>
          <w:szCs w:val="28"/>
        </w:rPr>
        <w:t xml:space="preserve"> [62].</w:t>
      </w:r>
    </w:p>
    <w:p w:rsidR="006D1FE3" w:rsidRPr="00EC7996" w:rsidRDefault="00642B57" w:rsidP="00797B32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Виразковий характер уражень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>на паталогоанатомічному матер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алі визначається у </w:t>
      </w:r>
      <w:r w:rsidR="006D1FE3" w:rsidRPr="00966737">
        <w:rPr>
          <w:sz w:val="28"/>
          <w:szCs w:val="28"/>
        </w:rPr>
        <w:t xml:space="preserve">55 % </w:t>
      </w:r>
      <w:r>
        <w:rPr>
          <w:sz w:val="28"/>
          <w:szCs w:val="28"/>
          <w:lang w:val="uk-UA"/>
        </w:rPr>
        <w:t>випадків гострого лімфобластного лейкозу</w:t>
      </w:r>
      <w:r w:rsidR="006D1FE3" w:rsidRPr="00966737">
        <w:rPr>
          <w:sz w:val="28"/>
          <w:szCs w:val="28"/>
        </w:rPr>
        <w:t xml:space="preserve"> [63]. </w:t>
      </w:r>
      <w:r>
        <w:rPr>
          <w:sz w:val="28"/>
          <w:szCs w:val="28"/>
          <w:lang w:val="uk-UA"/>
        </w:rPr>
        <w:t xml:space="preserve">За відомостями </w:t>
      </w:r>
      <w:r w:rsidR="00380CE7">
        <w:rPr>
          <w:sz w:val="28"/>
          <w:szCs w:val="28"/>
        </w:rPr>
        <w:t>Р.М.</w:t>
      </w:r>
      <w:r w:rsidR="00797B32">
        <w:rPr>
          <w:sz w:val="28"/>
          <w:szCs w:val="28"/>
          <w:lang w:val="uk-UA"/>
        </w:rPr>
        <w:t> </w:t>
      </w:r>
      <w:r w:rsidR="00380CE7">
        <w:rPr>
          <w:sz w:val="28"/>
          <w:szCs w:val="28"/>
        </w:rPr>
        <w:t xml:space="preserve">Уварова </w:t>
      </w:r>
      <w:r>
        <w:rPr>
          <w:sz w:val="28"/>
          <w:szCs w:val="28"/>
          <w:lang w:val="uk-UA"/>
        </w:rPr>
        <w:t>та співавторів</w:t>
      </w:r>
      <w:r w:rsidR="006D1FE3" w:rsidRPr="00966737">
        <w:rPr>
          <w:sz w:val="28"/>
          <w:szCs w:val="28"/>
        </w:rPr>
        <w:t xml:space="preserve"> (1975) </w:t>
      </w:r>
      <w:r>
        <w:rPr>
          <w:sz w:val="28"/>
          <w:szCs w:val="28"/>
          <w:lang w:val="uk-UA"/>
        </w:rPr>
        <w:t>виразково-некротичні ур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ження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 xml:space="preserve">можна спостерігати </w:t>
      </w:r>
      <w:r w:rsidR="004A78DE">
        <w:rPr>
          <w:sz w:val="28"/>
          <w:szCs w:val="28"/>
          <w:lang w:val="uk-UA"/>
        </w:rPr>
        <w:t xml:space="preserve">в </w:t>
      </w:r>
      <w:r w:rsidR="006D1FE3" w:rsidRPr="00966737">
        <w:rPr>
          <w:sz w:val="28"/>
          <w:szCs w:val="28"/>
        </w:rPr>
        <w:t xml:space="preserve">34% </w:t>
      </w:r>
      <w:r>
        <w:rPr>
          <w:sz w:val="28"/>
          <w:szCs w:val="28"/>
          <w:lang w:val="uk-UA"/>
        </w:rPr>
        <w:t>хворих</w:t>
      </w:r>
      <w:r w:rsidR="004A78DE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гостри</w:t>
      </w:r>
      <w:r w:rsidR="004A78DE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лейкоз. Інші до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лідники зазначають відсоток уражуваності від </w:t>
      </w:r>
      <w:r w:rsidR="006D1FE3" w:rsidRPr="00EC7996">
        <w:rPr>
          <w:sz w:val="28"/>
          <w:szCs w:val="28"/>
          <w:lang w:val="uk-UA"/>
        </w:rPr>
        <w:t>25 до 50% [64-65].</w:t>
      </w:r>
    </w:p>
    <w:p w:rsidR="006D1FE3" w:rsidRPr="00966737" w:rsidRDefault="00642B57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Багато вчених від</w:t>
      </w:r>
      <w:r w:rsidR="004A78DE">
        <w:rPr>
          <w:sz w:val="28"/>
          <w:szCs w:val="28"/>
          <w:lang w:val="uk-UA"/>
        </w:rPr>
        <w:t>зна</w:t>
      </w:r>
      <w:r>
        <w:rPr>
          <w:sz w:val="28"/>
          <w:szCs w:val="28"/>
          <w:lang w:val="uk-UA"/>
        </w:rPr>
        <w:t>чають, що найчастішою локалізацією виразково-некротичного процесу є слизова оболонка щоки, язика та ясенний край</w:t>
      </w:r>
      <w:r w:rsidR="006D1FE3" w:rsidRPr="00EC79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роз та виразка слизової оболонки найчастіше починаються з ясенного краю, </w:t>
      </w:r>
      <w:r w:rsidR="00D47DB3">
        <w:rPr>
          <w:sz w:val="28"/>
          <w:szCs w:val="28"/>
          <w:lang w:val="uk-UA"/>
        </w:rPr>
        <w:t>і вже потім розповсюджуються на інші відділи порожнини рота</w:t>
      </w:r>
      <w:r w:rsidR="006D1FE3" w:rsidRPr="00966737">
        <w:rPr>
          <w:sz w:val="28"/>
          <w:szCs w:val="28"/>
        </w:rPr>
        <w:t xml:space="preserve"> [66-67].</w:t>
      </w:r>
    </w:p>
    <w:p w:rsidR="006D1FE3" w:rsidRPr="00966737" w:rsidRDefault="006D1FE3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 w:rsidRPr="00966737">
        <w:rPr>
          <w:sz w:val="28"/>
          <w:szCs w:val="28"/>
        </w:rPr>
        <w:t xml:space="preserve">Т.В. Попруженко </w:t>
      </w:r>
      <w:r w:rsidR="00D47DB3">
        <w:rPr>
          <w:sz w:val="28"/>
          <w:szCs w:val="28"/>
          <w:lang w:val="uk-UA"/>
        </w:rPr>
        <w:t>підкреслює, що виразково-некротичні ураження з</w:t>
      </w:r>
      <w:r w:rsidR="00D47DB3">
        <w:rPr>
          <w:sz w:val="28"/>
          <w:szCs w:val="28"/>
          <w:lang w:val="uk-UA"/>
        </w:rPr>
        <w:t>а</w:t>
      </w:r>
      <w:r w:rsidR="00D47DB3">
        <w:rPr>
          <w:sz w:val="28"/>
          <w:szCs w:val="28"/>
          <w:lang w:val="uk-UA"/>
        </w:rPr>
        <w:t>звичай супроводжуються кровоточивістю ясен або іншими проявами гемор</w:t>
      </w:r>
      <w:r w:rsidR="00D47DB3">
        <w:rPr>
          <w:sz w:val="28"/>
          <w:szCs w:val="28"/>
          <w:lang w:val="uk-UA"/>
        </w:rPr>
        <w:t>а</w:t>
      </w:r>
      <w:r w:rsidR="00D47DB3">
        <w:rPr>
          <w:sz w:val="28"/>
          <w:szCs w:val="28"/>
          <w:lang w:val="uk-UA"/>
        </w:rPr>
        <w:t xml:space="preserve">гічного синдрому. Ясна набухають, стають </w:t>
      </w:r>
      <w:r w:rsidR="004A78DE">
        <w:rPr>
          <w:sz w:val="28"/>
          <w:szCs w:val="28"/>
          <w:lang w:val="uk-UA"/>
        </w:rPr>
        <w:t>набряклими</w:t>
      </w:r>
      <w:r w:rsidR="00D47DB3">
        <w:rPr>
          <w:sz w:val="28"/>
          <w:szCs w:val="28"/>
          <w:lang w:val="uk-UA"/>
        </w:rPr>
        <w:t>, на них з</w:t>
      </w:r>
      <w:r w:rsidR="00BE3154">
        <w:rPr>
          <w:sz w:val="28"/>
          <w:szCs w:val="28"/>
        </w:rPr>
        <w:t>'</w:t>
      </w:r>
      <w:r w:rsidR="00D47DB3">
        <w:rPr>
          <w:sz w:val="28"/>
          <w:szCs w:val="28"/>
          <w:lang w:val="uk-UA"/>
        </w:rPr>
        <w:t>являються виразки розміром не біл</w:t>
      </w:r>
      <w:r w:rsidR="00CB0363">
        <w:rPr>
          <w:sz w:val="28"/>
          <w:szCs w:val="28"/>
          <w:lang w:val="uk-UA"/>
        </w:rPr>
        <w:t>ьше 1 см у діаметрі, вкриті білу</w:t>
      </w:r>
      <w:r w:rsidR="00D47DB3">
        <w:rPr>
          <w:sz w:val="28"/>
          <w:szCs w:val="28"/>
          <w:lang w:val="uk-UA"/>
        </w:rPr>
        <w:t>вато-сірим нальотом, при видаленні якого оголюється дно, що кровоточить</w:t>
      </w:r>
      <w:r w:rsidRPr="00966737">
        <w:rPr>
          <w:sz w:val="28"/>
          <w:szCs w:val="28"/>
        </w:rPr>
        <w:t>.</w:t>
      </w:r>
    </w:p>
    <w:p w:rsidR="006D1FE3" w:rsidRPr="00966737" w:rsidRDefault="004C66F0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Ясенний край набуває сіру</w:t>
      </w:r>
      <w:r w:rsidR="00D47DB3">
        <w:rPr>
          <w:sz w:val="28"/>
          <w:szCs w:val="28"/>
          <w:lang w:val="uk-UA"/>
        </w:rPr>
        <w:t>вато-білого кольору, відбувається некроти</w:t>
      </w:r>
      <w:r w:rsidR="00D47DB3">
        <w:rPr>
          <w:sz w:val="28"/>
          <w:szCs w:val="28"/>
          <w:lang w:val="uk-UA"/>
        </w:rPr>
        <w:t>ч</w:t>
      </w:r>
      <w:r w:rsidR="00D47DB3">
        <w:rPr>
          <w:sz w:val="28"/>
          <w:szCs w:val="28"/>
          <w:lang w:val="uk-UA"/>
        </w:rPr>
        <w:t>ний розпад маргінальної частини ясен</w:t>
      </w:r>
      <w:r w:rsidR="006D1FE3" w:rsidRPr="00966737">
        <w:rPr>
          <w:sz w:val="28"/>
          <w:szCs w:val="28"/>
        </w:rPr>
        <w:t xml:space="preserve"> [68].</w:t>
      </w:r>
    </w:p>
    <w:p w:rsidR="006D1FE3" w:rsidRPr="00966737" w:rsidRDefault="00D47DB3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Виразки </w:t>
      </w:r>
      <w:r w:rsidRPr="0025158E">
        <w:rPr>
          <w:sz w:val="28"/>
          <w:szCs w:val="28"/>
          <w:lang w:val="uk-UA"/>
        </w:rPr>
        <w:t>слизової оболонки порожнини рота при гострому лейкозі м</w:t>
      </w:r>
      <w:r w:rsidRPr="0025158E">
        <w:rPr>
          <w:sz w:val="28"/>
          <w:szCs w:val="28"/>
          <w:lang w:val="uk-UA"/>
        </w:rPr>
        <w:t>а</w:t>
      </w:r>
      <w:r w:rsidRPr="0025158E">
        <w:rPr>
          <w:sz w:val="28"/>
          <w:szCs w:val="28"/>
          <w:lang w:val="uk-UA"/>
        </w:rPr>
        <w:t>ють нечіткі межі, їхнє дно вкрите фібр</w:t>
      </w:r>
      <w:r w:rsidR="004A78DE">
        <w:rPr>
          <w:sz w:val="28"/>
          <w:szCs w:val="28"/>
          <w:lang w:val="uk-UA"/>
        </w:rPr>
        <w:t>и</w:t>
      </w:r>
      <w:r w:rsidRPr="0025158E">
        <w:rPr>
          <w:sz w:val="28"/>
          <w:szCs w:val="28"/>
          <w:lang w:val="uk-UA"/>
        </w:rPr>
        <w:t>нозним нальотом,</w:t>
      </w:r>
      <w:r>
        <w:rPr>
          <w:sz w:val="28"/>
          <w:szCs w:val="28"/>
          <w:lang w:val="uk-UA"/>
        </w:rPr>
        <w:t xml:space="preserve"> запалювальна ре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кція навколо виразок відсутня</w:t>
      </w:r>
      <w:r w:rsidR="006D1FE3" w:rsidRPr="00966737">
        <w:rPr>
          <w:sz w:val="28"/>
          <w:szCs w:val="28"/>
        </w:rPr>
        <w:t xml:space="preserve"> [69-71].</w:t>
      </w:r>
    </w:p>
    <w:p w:rsidR="006D1FE3" w:rsidRPr="00966737" w:rsidRDefault="00D47DB3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Виразково-некротичний процес може мати тенденцію до розповс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дження та проникнення вглиб тканин, м</w:t>
      </w:r>
      <w:r w:rsidRPr="00D47DB3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язів та окістя</w:t>
      </w:r>
      <w:r w:rsidR="00797B32">
        <w:rPr>
          <w:sz w:val="28"/>
          <w:szCs w:val="28"/>
          <w:lang w:val="uk-UA"/>
        </w:rPr>
        <w:t xml:space="preserve"> </w:t>
      </w:r>
      <w:r w:rsidR="006D1FE3" w:rsidRPr="00966737">
        <w:rPr>
          <w:rStyle w:val="12pt3"/>
          <w:sz w:val="28"/>
          <w:szCs w:val="28"/>
        </w:rPr>
        <w:t>[</w:t>
      </w:r>
      <w:r w:rsidR="006D1FE3" w:rsidRPr="00262E93">
        <w:rPr>
          <w:rStyle w:val="12pt3"/>
          <w:b w:val="0"/>
          <w:sz w:val="28"/>
          <w:szCs w:val="28"/>
        </w:rPr>
        <w:t>72</w:t>
      </w:r>
      <w:r w:rsidR="006D1FE3" w:rsidRPr="00966737">
        <w:rPr>
          <w:rStyle w:val="12pt3"/>
          <w:sz w:val="28"/>
          <w:szCs w:val="28"/>
        </w:rPr>
        <w:t>].</w:t>
      </w:r>
    </w:p>
    <w:p w:rsidR="006D1FE3" w:rsidRPr="00966737" w:rsidRDefault="00D47DB3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Геморагічні та виразково-некротичні процеси часто виникають на фоні гіпертрофії ясен</w:t>
      </w:r>
      <w:r w:rsidR="006D1FE3" w:rsidRPr="00966737">
        <w:rPr>
          <w:sz w:val="28"/>
          <w:szCs w:val="28"/>
        </w:rPr>
        <w:t xml:space="preserve"> [73-74]. </w:t>
      </w:r>
      <w:r w:rsidR="006D1FE3" w:rsidRPr="00966737">
        <w:rPr>
          <w:sz w:val="28"/>
          <w:szCs w:val="28"/>
          <w:lang w:eastAsia="fr-FR"/>
        </w:rPr>
        <w:t>L.</w:t>
      </w:r>
      <w:r w:rsidR="00797B32">
        <w:rPr>
          <w:sz w:val="28"/>
          <w:szCs w:val="28"/>
          <w:lang w:val="uk-UA" w:eastAsia="fr-FR"/>
        </w:rPr>
        <w:t xml:space="preserve"> </w:t>
      </w:r>
      <w:r w:rsidR="006D1FE3" w:rsidRPr="00966737">
        <w:rPr>
          <w:sz w:val="28"/>
          <w:szCs w:val="28"/>
          <w:lang w:eastAsia="fr-FR"/>
        </w:rPr>
        <w:t>Sygar</w:t>
      </w:r>
      <w:r w:rsidR="006D1FE3" w:rsidRPr="00966737">
        <w:rPr>
          <w:sz w:val="28"/>
          <w:szCs w:val="28"/>
        </w:rPr>
        <w:t xml:space="preserve">(1960) </w:t>
      </w:r>
      <w:r>
        <w:rPr>
          <w:sz w:val="28"/>
          <w:szCs w:val="28"/>
          <w:lang w:val="uk-UA"/>
        </w:rPr>
        <w:t xml:space="preserve">розцінює появу раптової гіпертрофії </w:t>
      </w:r>
      <w:r>
        <w:rPr>
          <w:sz w:val="28"/>
          <w:szCs w:val="28"/>
          <w:lang w:val="uk-UA"/>
        </w:rPr>
        <w:lastRenderedPageBreak/>
        <w:t>ясен у поєднанні із геморагіями, виразково-некротичними процесами у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рожнині рота на фоні прогресуючого схуднення та слабкості як вказівку на розвиток лейкозу</w:t>
      </w:r>
      <w:r w:rsidR="006D1FE3" w:rsidRPr="00966737">
        <w:rPr>
          <w:sz w:val="28"/>
          <w:szCs w:val="28"/>
        </w:rPr>
        <w:t>.</w:t>
      </w:r>
    </w:p>
    <w:p w:rsidR="006D1FE3" w:rsidRPr="00966737" w:rsidRDefault="007D254A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Гіпертрофія ясен частіше має дифузний характер, але </w:t>
      </w:r>
      <w:r w:rsidR="003C11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окремих випа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ках може бути локалізованою на окремій ділянці. Сосочки збільшуються у розмірі, іноді навіть повністю закриваючи коронки зубів, процес може с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проводжуватися кровоточивістю ясен</w:t>
      </w:r>
      <w:r w:rsidR="006D1FE3" w:rsidRPr="00966737">
        <w:rPr>
          <w:sz w:val="28"/>
          <w:szCs w:val="28"/>
        </w:rPr>
        <w:t xml:space="preserve"> [75].</w:t>
      </w:r>
    </w:p>
    <w:p w:rsidR="006D1FE3" w:rsidRPr="007D254A" w:rsidRDefault="007D254A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Гіперпластичний синдром також може проявлятися збільшенням ми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далин </w:t>
      </w:r>
      <w:r w:rsidR="006D1FE3" w:rsidRPr="00966737">
        <w:rPr>
          <w:sz w:val="28"/>
          <w:szCs w:val="28"/>
        </w:rPr>
        <w:t xml:space="preserve">(у 25 % </w:t>
      </w:r>
      <w:r>
        <w:rPr>
          <w:sz w:val="28"/>
          <w:szCs w:val="28"/>
          <w:lang w:val="uk-UA"/>
        </w:rPr>
        <w:t>хворих</w:t>
      </w:r>
      <w:r w:rsidR="006D1FE3" w:rsidRPr="00966737">
        <w:rPr>
          <w:sz w:val="28"/>
          <w:szCs w:val="28"/>
        </w:rPr>
        <w:t xml:space="preserve">), </w:t>
      </w:r>
      <w:r>
        <w:rPr>
          <w:sz w:val="28"/>
          <w:szCs w:val="28"/>
          <w:lang w:val="uk-UA"/>
        </w:rPr>
        <w:t xml:space="preserve">тканина яких стає </w:t>
      </w:r>
      <w:r w:rsidR="003C119F">
        <w:rPr>
          <w:sz w:val="28"/>
          <w:szCs w:val="28"/>
          <w:lang w:val="uk-UA"/>
        </w:rPr>
        <w:t>набряклою</w:t>
      </w:r>
      <w:r>
        <w:rPr>
          <w:sz w:val="28"/>
          <w:szCs w:val="28"/>
          <w:lang w:val="uk-UA"/>
        </w:rPr>
        <w:t xml:space="preserve"> з ділянками крововил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вів. Ці процеси можуть поєднуватися із збільшенням лімфатичних вузлів</w:t>
      </w:r>
      <w:r w:rsidR="006D1FE3" w:rsidRPr="007D254A">
        <w:rPr>
          <w:sz w:val="28"/>
          <w:szCs w:val="28"/>
          <w:lang w:val="uk-UA"/>
        </w:rPr>
        <w:t xml:space="preserve"> (50%), </w:t>
      </w:r>
      <w:r>
        <w:rPr>
          <w:sz w:val="28"/>
          <w:szCs w:val="28"/>
          <w:lang w:val="uk-UA"/>
        </w:rPr>
        <w:t>печінки</w:t>
      </w:r>
      <w:r w:rsidR="006D1FE3" w:rsidRPr="007D254A">
        <w:rPr>
          <w:sz w:val="28"/>
          <w:szCs w:val="28"/>
          <w:lang w:val="uk-UA"/>
        </w:rPr>
        <w:t xml:space="preserve"> (49%) </w:t>
      </w:r>
      <w:r>
        <w:rPr>
          <w:sz w:val="28"/>
          <w:szCs w:val="28"/>
          <w:lang w:val="uk-UA"/>
        </w:rPr>
        <w:t>та селезінки</w:t>
      </w:r>
      <w:r w:rsidR="006D1FE3" w:rsidRPr="007D254A">
        <w:rPr>
          <w:sz w:val="28"/>
          <w:szCs w:val="28"/>
          <w:lang w:val="uk-UA"/>
        </w:rPr>
        <w:t xml:space="preserve"> (30%) [76].</w:t>
      </w:r>
    </w:p>
    <w:p w:rsidR="006D1FE3" w:rsidRPr="000F64B8" w:rsidRDefault="007D254A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Однією з ранніх ознак ГЛЛ може бути прояв болю </w:t>
      </w:r>
      <w:r w:rsidR="003C11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інтактних зубах, що характерні для пульпіту та періодонтиту. Лейкемічні інфільтрати </w:t>
      </w:r>
      <w:r w:rsidR="000F64B8">
        <w:rPr>
          <w:sz w:val="28"/>
          <w:szCs w:val="28"/>
          <w:lang w:val="uk-UA"/>
        </w:rPr>
        <w:t>досить часто локалізуються у тканинах періодонту або по ходу нервових стволів, викликаючи невралгії та невр</w:t>
      </w:r>
      <w:r w:rsidR="003C119F">
        <w:rPr>
          <w:sz w:val="28"/>
          <w:szCs w:val="28"/>
          <w:lang w:val="uk-UA"/>
        </w:rPr>
        <w:t>и</w:t>
      </w:r>
      <w:r w:rsidR="000F64B8">
        <w:rPr>
          <w:sz w:val="28"/>
          <w:szCs w:val="28"/>
          <w:lang w:val="uk-UA"/>
        </w:rPr>
        <w:t>ти трійчастого нерва, паралічі та парези мімі</w:t>
      </w:r>
      <w:r w:rsidR="000F64B8">
        <w:rPr>
          <w:sz w:val="28"/>
          <w:szCs w:val="28"/>
          <w:lang w:val="uk-UA"/>
        </w:rPr>
        <w:t>ч</w:t>
      </w:r>
      <w:r w:rsidR="000F64B8">
        <w:rPr>
          <w:sz w:val="28"/>
          <w:szCs w:val="28"/>
          <w:lang w:val="uk-UA"/>
        </w:rPr>
        <w:t>ної мускулатури</w:t>
      </w:r>
      <w:r w:rsidR="006D1FE3" w:rsidRPr="000F64B8">
        <w:rPr>
          <w:sz w:val="28"/>
          <w:szCs w:val="28"/>
          <w:lang w:val="uk-UA"/>
        </w:rPr>
        <w:t xml:space="preserve"> [77].</w:t>
      </w:r>
    </w:p>
    <w:p w:rsidR="006D1FE3" w:rsidRPr="008714CE" w:rsidRDefault="000F64B8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з характерних проявів гострого лейкозу на СОПР є канд</w:t>
      </w:r>
      <w:r w:rsidR="00797B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доз</w:t>
      </w:r>
      <w:r w:rsidR="006D1FE3" w:rsidRPr="009667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Як відомо, гриби роду </w:t>
      </w:r>
      <w:r w:rsidR="006D1FE3" w:rsidRPr="00966737">
        <w:rPr>
          <w:sz w:val="28"/>
          <w:szCs w:val="28"/>
          <w:lang w:eastAsia="en-US"/>
        </w:rPr>
        <w:t>Candida</w:t>
      </w:r>
      <w:r w:rsidR="00797B32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відносяться до умовно-патогенних мікрооргані</w:t>
      </w:r>
      <w:r>
        <w:rPr>
          <w:sz w:val="28"/>
          <w:szCs w:val="28"/>
          <w:lang w:val="uk-UA" w:eastAsia="en-US"/>
        </w:rPr>
        <w:t>з</w:t>
      </w:r>
      <w:r>
        <w:rPr>
          <w:sz w:val="28"/>
          <w:szCs w:val="28"/>
          <w:lang w:val="uk-UA" w:eastAsia="en-US"/>
        </w:rPr>
        <w:t xml:space="preserve">мів, частота носіння грибів у здорових </w:t>
      </w:r>
      <w:r w:rsidR="00680A41">
        <w:rPr>
          <w:sz w:val="28"/>
          <w:szCs w:val="28"/>
          <w:lang w:val="uk-UA" w:eastAsia="en-US"/>
        </w:rPr>
        <w:t xml:space="preserve">дітей </w:t>
      </w:r>
      <w:r>
        <w:rPr>
          <w:sz w:val="28"/>
          <w:szCs w:val="28"/>
          <w:lang w:val="uk-UA" w:eastAsia="en-US"/>
        </w:rPr>
        <w:t xml:space="preserve">складає від </w:t>
      </w:r>
      <w:r w:rsidR="006D1FE3" w:rsidRPr="00EC7996">
        <w:rPr>
          <w:sz w:val="28"/>
          <w:szCs w:val="28"/>
          <w:lang w:val="uk-UA"/>
        </w:rPr>
        <w:t xml:space="preserve">10 до 30% [78-86], </w:t>
      </w:r>
      <w:r>
        <w:rPr>
          <w:sz w:val="28"/>
          <w:szCs w:val="28"/>
          <w:lang w:val="uk-UA"/>
        </w:rPr>
        <w:t xml:space="preserve">тому </w:t>
      </w:r>
      <w:r w:rsidR="00797B32">
        <w:rPr>
          <w:sz w:val="28"/>
          <w:szCs w:val="28"/>
          <w:lang w:val="uk-UA"/>
        </w:rPr>
        <w:t>кандидоз</w:t>
      </w:r>
      <w:r>
        <w:rPr>
          <w:sz w:val="28"/>
          <w:szCs w:val="28"/>
          <w:lang w:val="uk-UA"/>
        </w:rPr>
        <w:t xml:space="preserve"> слизової оболонки порожнини рота </w:t>
      </w:r>
      <w:r w:rsidR="00797B3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захворювання людей із послабленим імунітетом. Враховуючи вторинний імунодефіцит, що розвив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ється при гострих лімфобластних лейкозах, хворі з патологією кровотворної системи входять до групи ризику </w:t>
      </w:r>
      <w:r w:rsidR="006D1FE3" w:rsidRPr="000F64B8">
        <w:rPr>
          <w:sz w:val="28"/>
          <w:szCs w:val="28"/>
          <w:lang w:val="uk-UA"/>
        </w:rPr>
        <w:t>№ 1</w:t>
      </w:r>
      <w:r>
        <w:rPr>
          <w:sz w:val="28"/>
          <w:szCs w:val="28"/>
          <w:lang w:val="uk-UA"/>
        </w:rPr>
        <w:t xml:space="preserve"> за </w:t>
      </w:r>
      <w:r w:rsidR="00797B32">
        <w:rPr>
          <w:sz w:val="28"/>
          <w:szCs w:val="28"/>
          <w:lang w:val="uk-UA"/>
        </w:rPr>
        <w:t>кандидоз</w:t>
      </w:r>
      <w:r>
        <w:rPr>
          <w:sz w:val="28"/>
          <w:szCs w:val="28"/>
          <w:lang w:val="uk-UA"/>
        </w:rPr>
        <w:t>ним ураженням</w:t>
      </w:r>
      <w:r w:rsidR="00797B32">
        <w:rPr>
          <w:sz w:val="28"/>
          <w:szCs w:val="28"/>
          <w:lang w:val="uk-UA"/>
        </w:rPr>
        <w:t xml:space="preserve"> </w:t>
      </w:r>
      <w:r w:rsidR="006D1FE3" w:rsidRPr="008714CE">
        <w:rPr>
          <w:sz w:val="28"/>
          <w:szCs w:val="28"/>
          <w:lang w:val="uk-UA"/>
        </w:rPr>
        <w:t>СОПР [87-92].</w:t>
      </w:r>
    </w:p>
    <w:p w:rsidR="006D1FE3" w:rsidRPr="008714CE" w:rsidRDefault="000F64B8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відомостями </w:t>
      </w:r>
      <w:r w:rsidR="006D1FE3" w:rsidRPr="00966737">
        <w:rPr>
          <w:sz w:val="28"/>
          <w:szCs w:val="28"/>
          <w:lang w:eastAsia="en-US"/>
        </w:rPr>
        <w:t>G</w:t>
      </w:r>
      <w:r w:rsidR="006D1FE3" w:rsidRPr="008714CE">
        <w:rPr>
          <w:sz w:val="28"/>
          <w:szCs w:val="28"/>
          <w:lang w:val="uk-UA" w:eastAsia="en-US"/>
        </w:rPr>
        <w:t>.</w:t>
      </w:r>
      <w:r w:rsidR="006D1FE3" w:rsidRPr="00966737">
        <w:rPr>
          <w:sz w:val="28"/>
          <w:szCs w:val="28"/>
          <w:lang w:eastAsia="en-US"/>
        </w:rPr>
        <w:t>P</w:t>
      </w:r>
      <w:r w:rsidR="006D1FE3" w:rsidRPr="008714CE">
        <w:rPr>
          <w:sz w:val="28"/>
          <w:szCs w:val="28"/>
          <w:lang w:val="uk-UA" w:eastAsia="en-US"/>
        </w:rPr>
        <w:t>.</w:t>
      </w:r>
      <w:r w:rsidR="00797B32">
        <w:rPr>
          <w:sz w:val="28"/>
          <w:szCs w:val="28"/>
          <w:lang w:val="uk-UA" w:eastAsia="en-US"/>
        </w:rPr>
        <w:t> </w:t>
      </w:r>
      <w:r w:rsidR="006D1FE3" w:rsidRPr="00966737">
        <w:rPr>
          <w:sz w:val="28"/>
          <w:szCs w:val="28"/>
          <w:lang w:eastAsia="en-US"/>
        </w:rPr>
        <w:t>Bodey</w:t>
      </w:r>
      <w:r w:rsidR="00797B32">
        <w:rPr>
          <w:sz w:val="28"/>
          <w:szCs w:val="28"/>
          <w:lang w:val="uk-UA" w:eastAsia="en-US"/>
        </w:rPr>
        <w:t xml:space="preserve"> </w:t>
      </w:r>
      <w:r w:rsidR="006D1FE3" w:rsidRPr="008714CE">
        <w:rPr>
          <w:sz w:val="28"/>
          <w:szCs w:val="28"/>
          <w:lang w:val="uk-UA"/>
        </w:rPr>
        <w:t xml:space="preserve">(1990), </w:t>
      </w:r>
      <w:r>
        <w:rPr>
          <w:sz w:val="28"/>
          <w:szCs w:val="28"/>
          <w:lang w:val="uk-UA"/>
        </w:rPr>
        <w:t>у</w:t>
      </w:r>
      <w:r w:rsidR="006D1FE3" w:rsidRPr="008714CE">
        <w:rPr>
          <w:sz w:val="28"/>
          <w:szCs w:val="28"/>
          <w:lang w:val="uk-UA"/>
        </w:rPr>
        <w:t xml:space="preserve"> 30% </w:t>
      </w:r>
      <w:r>
        <w:rPr>
          <w:sz w:val="28"/>
          <w:szCs w:val="28"/>
          <w:lang w:val="uk-UA"/>
        </w:rPr>
        <w:t xml:space="preserve">випадків у хворих ГЛЛ при мікробіологічному дослідженні виділяється </w:t>
      </w:r>
      <w:r w:rsidR="006D1FE3" w:rsidRPr="00966737">
        <w:rPr>
          <w:sz w:val="28"/>
          <w:szCs w:val="28"/>
          <w:lang w:eastAsia="en-US"/>
        </w:rPr>
        <w:t>Candida</w:t>
      </w:r>
      <w:r w:rsidR="00571E69">
        <w:rPr>
          <w:sz w:val="28"/>
          <w:szCs w:val="28"/>
          <w:lang w:val="uk-UA" w:eastAsia="en-US"/>
        </w:rPr>
        <w:t xml:space="preserve"> </w:t>
      </w:r>
      <w:r w:rsidR="006D1FE3" w:rsidRPr="00966737">
        <w:rPr>
          <w:sz w:val="28"/>
          <w:szCs w:val="28"/>
          <w:lang w:eastAsia="de-DE"/>
        </w:rPr>
        <w:t>tropicalis</w:t>
      </w:r>
      <w:r w:rsidR="006D1FE3" w:rsidRPr="008714CE">
        <w:rPr>
          <w:sz w:val="28"/>
          <w:szCs w:val="28"/>
          <w:lang w:val="uk-UA" w:eastAsia="de-DE"/>
        </w:rPr>
        <w:t xml:space="preserve">, </w:t>
      </w:r>
      <w:r>
        <w:rPr>
          <w:sz w:val="28"/>
          <w:szCs w:val="28"/>
          <w:lang w:val="uk-UA" w:eastAsia="de-DE"/>
        </w:rPr>
        <w:t>а частота вис</w:t>
      </w:r>
      <w:r>
        <w:rPr>
          <w:sz w:val="28"/>
          <w:szCs w:val="28"/>
          <w:lang w:val="uk-UA" w:eastAsia="de-DE"/>
        </w:rPr>
        <w:t>і</w:t>
      </w:r>
      <w:r>
        <w:rPr>
          <w:sz w:val="28"/>
          <w:szCs w:val="28"/>
          <w:lang w:val="uk-UA" w:eastAsia="de-DE"/>
        </w:rPr>
        <w:t xml:space="preserve">вання </w:t>
      </w:r>
      <w:r w:rsidR="006D1FE3" w:rsidRPr="00966737">
        <w:rPr>
          <w:sz w:val="28"/>
          <w:szCs w:val="28"/>
          <w:lang w:eastAsia="de-DE"/>
        </w:rPr>
        <w:t>Candida</w:t>
      </w:r>
      <w:r w:rsidR="006D1FE3" w:rsidRPr="008714CE">
        <w:rPr>
          <w:sz w:val="28"/>
          <w:szCs w:val="28"/>
          <w:lang w:val="uk-UA" w:eastAsia="de-DE"/>
        </w:rPr>
        <w:t xml:space="preserve"> </w:t>
      </w:r>
      <w:r w:rsidR="006D1FE3" w:rsidRPr="00966737">
        <w:rPr>
          <w:sz w:val="28"/>
          <w:szCs w:val="28"/>
          <w:lang w:eastAsia="de-DE"/>
        </w:rPr>
        <w:t>albicans</w:t>
      </w:r>
      <w:r w:rsidR="006D1FE3" w:rsidRPr="008714CE">
        <w:rPr>
          <w:sz w:val="28"/>
          <w:szCs w:val="28"/>
          <w:lang w:val="uk-UA" w:eastAsia="de-DE"/>
        </w:rPr>
        <w:t xml:space="preserve"> </w:t>
      </w:r>
      <w:r>
        <w:rPr>
          <w:sz w:val="28"/>
          <w:szCs w:val="28"/>
          <w:lang w:val="uk-UA" w:eastAsia="de-DE"/>
        </w:rPr>
        <w:t xml:space="preserve">складає </w:t>
      </w:r>
      <w:r w:rsidR="006D1FE3" w:rsidRPr="008714CE">
        <w:rPr>
          <w:sz w:val="28"/>
          <w:szCs w:val="28"/>
          <w:lang w:val="uk-UA"/>
        </w:rPr>
        <w:t>86% [93-95].</w:t>
      </w:r>
    </w:p>
    <w:p w:rsidR="006D1FE3" w:rsidRPr="00966737" w:rsidRDefault="000F64B8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Згідно</w:t>
      </w:r>
      <w:r w:rsidR="003C119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дани</w:t>
      </w:r>
      <w:r w:rsidR="003C119F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  <w:lang w:eastAsia="de-DE"/>
        </w:rPr>
        <w:t>Y.B.</w:t>
      </w:r>
      <w:r w:rsidR="00797B32">
        <w:rPr>
          <w:sz w:val="28"/>
          <w:szCs w:val="28"/>
          <w:lang w:val="uk-UA" w:eastAsia="de-DE"/>
        </w:rPr>
        <w:t> </w:t>
      </w:r>
      <w:r w:rsidR="006D1FE3" w:rsidRPr="00966737">
        <w:rPr>
          <w:sz w:val="28"/>
          <w:szCs w:val="28"/>
          <w:lang w:eastAsia="de-DE"/>
        </w:rPr>
        <w:t>Wahlin, A.K.</w:t>
      </w:r>
      <w:r w:rsidR="00797B32">
        <w:rPr>
          <w:sz w:val="28"/>
          <w:szCs w:val="28"/>
          <w:lang w:val="uk-UA" w:eastAsia="de-DE"/>
        </w:rPr>
        <w:t xml:space="preserve"> </w:t>
      </w:r>
      <w:r w:rsidR="006D1FE3" w:rsidRPr="00966737">
        <w:rPr>
          <w:sz w:val="28"/>
          <w:szCs w:val="28"/>
          <w:lang w:eastAsia="de-DE"/>
        </w:rPr>
        <w:t>Holm</w:t>
      </w:r>
      <w:r w:rsidR="00797B32">
        <w:rPr>
          <w:sz w:val="28"/>
          <w:szCs w:val="28"/>
          <w:lang w:val="uk-UA" w:eastAsia="de-DE"/>
        </w:rPr>
        <w:t xml:space="preserve"> </w:t>
      </w:r>
      <w:r w:rsidR="006D1FE3" w:rsidRPr="00966737">
        <w:rPr>
          <w:sz w:val="28"/>
          <w:szCs w:val="28"/>
        </w:rPr>
        <w:t xml:space="preserve">(1988) </w:t>
      </w:r>
      <w:r>
        <w:rPr>
          <w:sz w:val="28"/>
          <w:szCs w:val="28"/>
          <w:lang w:val="uk-UA"/>
        </w:rPr>
        <w:t>канд</w:t>
      </w:r>
      <w:r w:rsidR="00797B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доз слизової об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лонки порожнини рота можна спостерігати </w:t>
      </w:r>
      <w:r w:rsidR="003C11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</w:rPr>
        <w:t xml:space="preserve">7-25 % </w:t>
      </w:r>
      <w:r>
        <w:rPr>
          <w:sz w:val="28"/>
          <w:szCs w:val="28"/>
          <w:lang w:val="uk-UA"/>
        </w:rPr>
        <w:t>хворих</w:t>
      </w:r>
      <w:r w:rsidR="003C119F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гостр</w:t>
      </w:r>
      <w:r w:rsidR="003C119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лімф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бластн</w:t>
      </w:r>
      <w:r w:rsidR="003C119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лейкози</w:t>
      </w:r>
      <w:r w:rsidR="006D1FE3" w:rsidRPr="0096673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При дослідженні стану слизової оболонки порожнини рота </w:t>
      </w:r>
      <w:r w:rsidR="00571E6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хворих ГЛЛ </w:t>
      </w:r>
      <w:r w:rsidR="006D1FE3" w:rsidRPr="00966737">
        <w:rPr>
          <w:sz w:val="28"/>
          <w:szCs w:val="28"/>
        </w:rPr>
        <w:t>О.</w:t>
      </w:r>
      <w:r w:rsidR="003C119F"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</w:rPr>
        <w:t>Г.Лапт</w:t>
      </w:r>
      <w:r>
        <w:rPr>
          <w:sz w:val="28"/>
          <w:szCs w:val="28"/>
          <w:lang w:val="uk-UA"/>
        </w:rPr>
        <w:t>є</w:t>
      </w:r>
      <w:r w:rsidR="006D1FE3" w:rsidRPr="00966737">
        <w:rPr>
          <w:sz w:val="28"/>
          <w:szCs w:val="28"/>
        </w:rPr>
        <w:t xml:space="preserve">ва (2000) </w:t>
      </w:r>
      <w:r>
        <w:rPr>
          <w:sz w:val="28"/>
          <w:szCs w:val="28"/>
          <w:lang w:val="uk-UA"/>
        </w:rPr>
        <w:t xml:space="preserve">виявила </w:t>
      </w:r>
      <w:r w:rsidR="00797B32">
        <w:rPr>
          <w:sz w:val="28"/>
          <w:szCs w:val="28"/>
          <w:lang w:val="uk-UA"/>
        </w:rPr>
        <w:t>кандидоз</w:t>
      </w:r>
      <w:r>
        <w:rPr>
          <w:sz w:val="28"/>
          <w:szCs w:val="28"/>
          <w:lang w:val="uk-UA"/>
        </w:rPr>
        <w:t xml:space="preserve">ний стоматит у </w:t>
      </w:r>
      <w:r w:rsidR="006D1FE3" w:rsidRPr="00966737">
        <w:rPr>
          <w:sz w:val="28"/>
          <w:szCs w:val="28"/>
        </w:rPr>
        <w:t xml:space="preserve">30 % </w:t>
      </w:r>
      <w:r>
        <w:rPr>
          <w:sz w:val="28"/>
          <w:szCs w:val="28"/>
          <w:lang w:val="uk-UA"/>
        </w:rPr>
        <w:t>вип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дків</w:t>
      </w:r>
      <w:r w:rsidR="00797B32"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</w:rPr>
        <w:t xml:space="preserve">[96-99]. </w:t>
      </w:r>
    </w:p>
    <w:p w:rsidR="006D1FE3" w:rsidRPr="00966737" w:rsidRDefault="000F64B8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</w:t>
      </w:r>
      <w:r w:rsidR="00797B32">
        <w:rPr>
          <w:sz w:val="28"/>
          <w:szCs w:val="28"/>
          <w:lang w:val="uk-UA"/>
        </w:rPr>
        <w:t>кандидоз</w:t>
      </w:r>
      <w:r>
        <w:rPr>
          <w:sz w:val="28"/>
          <w:szCs w:val="28"/>
          <w:lang w:val="uk-UA"/>
        </w:rPr>
        <w:t>і СОПР деякі хворі відмічають зуд та печіння у порожн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ні рота. При об</w:t>
      </w:r>
      <w:r w:rsidRPr="000F64B8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єктивному огляді можна спостерігати елементи у вигляді б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лих контурних ліній, нальот білого та коричневого кольору</w:t>
      </w:r>
      <w:r w:rsidR="006D1FE3" w:rsidRPr="00966737">
        <w:rPr>
          <w:sz w:val="28"/>
          <w:szCs w:val="28"/>
        </w:rPr>
        <w:t xml:space="preserve"> [100].</w:t>
      </w:r>
    </w:p>
    <w:p w:rsidR="006D1FE3" w:rsidRPr="00966737" w:rsidRDefault="000F64B8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хворих із захворюваннями крові найчастіше розвивається гострий псевдомембранозний </w:t>
      </w:r>
      <w:r w:rsidR="00797B32">
        <w:rPr>
          <w:sz w:val="28"/>
          <w:szCs w:val="28"/>
          <w:lang w:val="uk-UA"/>
        </w:rPr>
        <w:t>кандидоз</w:t>
      </w:r>
      <w:r>
        <w:rPr>
          <w:sz w:val="28"/>
          <w:szCs w:val="28"/>
          <w:lang w:val="uk-UA"/>
        </w:rPr>
        <w:t>, але зустрічається</w:t>
      </w:r>
      <w:r w:rsidR="002F7761">
        <w:rPr>
          <w:sz w:val="28"/>
          <w:szCs w:val="28"/>
          <w:lang w:val="uk-UA"/>
        </w:rPr>
        <w:t xml:space="preserve"> й гостра атрофічна форма. На слизовій оболонці щок процес </w:t>
      </w:r>
      <w:r w:rsidR="002F7761" w:rsidRPr="00A46CFD">
        <w:rPr>
          <w:sz w:val="28"/>
          <w:szCs w:val="28"/>
          <w:lang w:val="uk-UA"/>
        </w:rPr>
        <w:t>переважно лока</w:t>
      </w:r>
      <w:r w:rsidR="00680A41" w:rsidRPr="00A46CFD">
        <w:rPr>
          <w:sz w:val="28"/>
          <w:szCs w:val="28"/>
          <w:lang w:val="uk-UA"/>
        </w:rPr>
        <w:t>лізується</w:t>
      </w:r>
      <w:r w:rsidR="002F7761">
        <w:rPr>
          <w:sz w:val="28"/>
          <w:szCs w:val="28"/>
          <w:lang w:val="uk-UA"/>
        </w:rPr>
        <w:t xml:space="preserve"> по лінії змикання зубів</w:t>
      </w:r>
      <w:r w:rsidR="006D1FE3" w:rsidRPr="00966737">
        <w:rPr>
          <w:sz w:val="28"/>
          <w:szCs w:val="28"/>
        </w:rPr>
        <w:t xml:space="preserve"> (58 %). </w:t>
      </w:r>
      <w:r w:rsidR="00797B32">
        <w:rPr>
          <w:sz w:val="28"/>
          <w:szCs w:val="28"/>
          <w:lang w:val="uk-UA"/>
        </w:rPr>
        <w:t>Кандидоз</w:t>
      </w:r>
      <w:r w:rsidR="002F7761">
        <w:rPr>
          <w:sz w:val="28"/>
          <w:szCs w:val="28"/>
          <w:lang w:val="uk-UA"/>
        </w:rPr>
        <w:t xml:space="preserve">ний глосит викликає гіперемію слизової </w:t>
      </w:r>
      <w:r w:rsidR="003C119F">
        <w:rPr>
          <w:sz w:val="28"/>
          <w:szCs w:val="28"/>
          <w:lang w:val="uk-UA"/>
        </w:rPr>
        <w:t>в</w:t>
      </w:r>
      <w:r w:rsidR="002F7761">
        <w:rPr>
          <w:sz w:val="28"/>
          <w:szCs w:val="28"/>
          <w:lang w:val="uk-UA"/>
        </w:rPr>
        <w:t xml:space="preserve"> 51% випа</w:t>
      </w:r>
      <w:r w:rsidR="002F7761">
        <w:rPr>
          <w:sz w:val="28"/>
          <w:szCs w:val="28"/>
          <w:lang w:val="uk-UA"/>
        </w:rPr>
        <w:t>д</w:t>
      </w:r>
      <w:r w:rsidR="002F7761">
        <w:rPr>
          <w:sz w:val="28"/>
          <w:szCs w:val="28"/>
          <w:lang w:val="uk-UA"/>
        </w:rPr>
        <w:t>ків</w:t>
      </w:r>
      <w:r w:rsidR="006D1FE3" w:rsidRPr="00966737">
        <w:rPr>
          <w:sz w:val="28"/>
          <w:szCs w:val="28"/>
        </w:rPr>
        <w:t xml:space="preserve">, </w:t>
      </w:r>
      <w:r w:rsidR="002F7761">
        <w:rPr>
          <w:sz w:val="28"/>
          <w:szCs w:val="28"/>
          <w:lang w:val="uk-UA"/>
        </w:rPr>
        <w:t xml:space="preserve">набряклість </w:t>
      </w:r>
      <w:r w:rsidR="003C119F">
        <w:rPr>
          <w:sz w:val="28"/>
          <w:szCs w:val="28"/>
          <w:lang w:val="uk-UA"/>
        </w:rPr>
        <w:t>в</w:t>
      </w:r>
      <w:r w:rsidR="006D1FE3" w:rsidRPr="00966737">
        <w:rPr>
          <w:sz w:val="28"/>
          <w:szCs w:val="28"/>
        </w:rPr>
        <w:t xml:space="preserve"> 30%, </w:t>
      </w:r>
      <w:r w:rsidR="002F7761">
        <w:rPr>
          <w:sz w:val="28"/>
          <w:szCs w:val="28"/>
          <w:lang w:val="uk-UA"/>
        </w:rPr>
        <w:t>гіпотрофію ниткоподібних сосочків язика</w:t>
      </w:r>
      <w:r w:rsidR="006D1FE3" w:rsidRPr="00966737">
        <w:rPr>
          <w:sz w:val="28"/>
          <w:szCs w:val="28"/>
        </w:rPr>
        <w:t xml:space="preserve"> (75%) </w:t>
      </w:r>
      <w:r w:rsidR="002F7761">
        <w:rPr>
          <w:sz w:val="28"/>
          <w:szCs w:val="28"/>
          <w:lang w:val="uk-UA"/>
        </w:rPr>
        <w:t>або їхню атрофію</w:t>
      </w:r>
      <w:r w:rsidR="006D1FE3" w:rsidRPr="00966737">
        <w:rPr>
          <w:sz w:val="28"/>
          <w:szCs w:val="28"/>
        </w:rPr>
        <w:t xml:space="preserve"> (17%).</w:t>
      </w:r>
    </w:p>
    <w:p w:rsidR="006D1FE3" w:rsidRPr="00966737" w:rsidRDefault="00A64BDC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Клінічні прояви гострого псевдомембранозного </w:t>
      </w:r>
      <w:r w:rsidR="00797B32">
        <w:rPr>
          <w:sz w:val="28"/>
          <w:szCs w:val="28"/>
          <w:lang w:val="uk-UA"/>
        </w:rPr>
        <w:t>кандидоз</w:t>
      </w:r>
      <w:r>
        <w:rPr>
          <w:sz w:val="28"/>
          <w:szCs w:val="28"/>
          <w:lang w:val="uk-UA"/>
        </w:rPr>
        <w:t>у виглядають як осередки білого або сірого крихтоподібного нальоту, який легко знімаєт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ся, поверхня слизової оболонки під ним ерітематозна або така, що кровот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чить</w:t>
      </w:r>
      <w:r w:rsidR="006D1FE3" w:rsidRPr="00966737">
        <w:rPr>
          <w:sz w:val="28"/>
          <w:szCs w:val="28"/>
        </w:rPr>
        <w:t xml:space="preserve"> [101-102].</w:t>
      </w:r>
    </w:p>
    <w:p w:rsidR="006D1FE3" w:rsidRPr="00EC7996" w:rsidRDefault="00A64BDC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одних з проявів </w:t>
      </w:r>
      <w:r w:rsidR="00797B32">
        <w:rPr>
          <w:sz w:val="28"/>
          <w:szCs w:val="28"/>
          <w:lang w:val="uk-UA"/>
        </w:rPr>
        <w:t>кандидоз</w:t>
      </w:r>
      <w:r>
        <w:rPr>
          <w:sz w:val="28"/>
          <w:szCs w:val="28"/>
          <w:lang w:val="uk-UA"/>
        </w:rPr>
        <w:t xml:space="preserve">у </w:t>
      </w:r>
      <w:r w:rsidR="003C11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порожнині рота відноситься чорний 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лохатий язик, що характеризується гіпертрофією та гіперкератозом нитков</w:t>
      </w:r>
      <w:r>
        <w:rPr>
          <w:sz w:val="28"/>
          <w:szCs w:val="28"/>
          <w:lang w:val="uk-UA"/>
        </w:rPr>
        <w:t>и</w:t>
      </w:r>
      <w:r w:rsidR="00A46CF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них сосочків та темно-коричневим кольором дорсальної поверхні язика</w:t>
      </w:r>
      <w:r w:rsidR="006D1FE3" w:rsidRPr="009667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Хронічний гіперпластичний </w:t>
      </w:r>
      <w:r w:rsidR="00797B32">
        <w:rPr>
          <w:sz w:val="28"/>
          <w:szCs w:val="28"/>
          <w:lang w:val="uk-UA"/>
        </w:rPr>
        <w:t>кандидоз</w:t>
      </w:r>
      <w:r>
        <w:rPr>
          <w:sz w:val="28"/>
          <w:szCs w:val="28"/>
          <w:lang w:val="uk-UA"/>
        </w:rPr>
        <w:t xml:space="preserve"> спостерігається рідко, приблизно у </w:t>
      </w:r>
      <w:r w:rsidR="00797B32">
        <w:rPr>
          <w:sz w:val="28"/>
          <w:szCs w:val="28"/>
          <w:lang w:val="uk-UA"/>
        </w:rPr>
        <w:t>2</w:t>
      </w:r>
      <w:r w:rsidR="006D1FE3" w:rsidRPr="00EC7996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хворих</w:t>
      </w:r>
      <w:r w:rsidR="006D1FE3" w:rsidRPr="00EC7996">
        <w:rPr>
          <w:sz w:val="28"/>
          <w:szCs w:val="28"/>
          <w:lang w:val="uk-UA"/>
        </w:rPr>
        <w:t xml:space="preserve"> [103-105].</w:t>
      </w:r>
    </w:p>
    <w:p w:rsidR="006D1FE3" w:rsidRPr="00A64BDC" w:rsidRDefault="00A64BDC" w:rsidP="00E27DC6">
      <w:pPr>
        <w:pStyle w:val="a9"/>
        <w:spacing w:before="0" w:after="0" w:line="360" w:lineRule="auto"/>
        <w:ind w:firstLine="69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Дані літератури, </w:t>
      </w:r>
      <w:r w:rsidR="00571E69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вивча</w:t>
      </w:r>
      <w:r w:rsidR="00571E69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ся нами, дозволяють зробити висновок, що частота уражень слизової оболонки порожнини рота </w:t>
      </w:r>
      <w:r w:rsidR="003C11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пацієнтів </w:t>
      </w:r>
      <w:r w:rsidR="003C119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гострим лімфобластним лейкозом є дуже високою</w:t>
      </w:r>
      <w:r w:rsidR="006D1FE3" w:rsidRPr="00EC79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Тому діагностику та </w:t>
      </w:r>
      <w:r w:rsidRPr="00A46CFD">
        <w:rPr>
          <w:sz w:val="28"/>
          <w:szCs w:val="28"/>
          <w:lang w:val="uk-UA"/>
        </w:rPr>
        <w:t>тактику</w:t>
      </w:r>
      <w:r>
        <w:rPr>
          <w:sz w:val="28"/>
          <w:szCs w:val="28"/>
          <w:lang w:val="uk-UA"/>
        </w:rPr>
        <w:t xml:space="preserve"> лік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вання захворювань слизової оболонки порожнини рота </w:t>
      </w:r>
      <w:r w:rsidR="003C11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дітей із ГЛЛ нео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хідно розглядати </w:t>
      </w:r>
      <w:r w:rsidR="003C11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контексті цілісності організму дитини, що формується, взаємозумовленості форми та функцій його органів та систем.</w:t>
      </w:r>
    </w:p>
    <w:p w:rsidR="006D1FE3" w:rsidRDefault="006D1FE3" w:rsidP="00E27D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240" w:rsidRDefault="003B1240" w:rsidP="00E27D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240" w:rsidRPr="00A64BDC" w:rsidRDefault="003B1240" w:rsidP="00E27D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E3" w:rsidRPr="00966737" w:rsidRDefault="006D1FE3" w:rsidP="00E27D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</w:t>
      </w:r>
      <w:r w:rsidR="00A64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мікробіоценозу та місцевого імунітету </w:t>
      </w:r>
      <w:r w:rsidR="0076197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64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дітей, що стра</w:t>
      </w:r>
      <w:r w:rsidR="00A64BDC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="00A64BDC">
        <w:rPr>
          <w:rFonts w:ascii="Times New Roman" w:hAnsi="Times New Roman" w:cs="Times New Roman"/>
          <w:b/>
          <w:sz w:val="28"/>
          <w:szCs w:val="28"/>
          <w:lang w:val="uk-UA"/>
        </w:rPr>
        <w:t>дають</w:t>
      </w:r>
      <w:r w:rsidR="00761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="00A64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гостри</w:t>
      </w:r>
      <w:r w:rsidR="0076197F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A64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лімфобластни</w:t>
      </w:r>
      <w:r w:rsidR="0076197F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A64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лейкоз</w:t>
      </w:r>
      <w:r w:rsidRPr="00966737">
        <w:rPr>
          <w:rFonts w:ascii="Times New Roman" w:hAnsi="Times New Roman" w:cs="Times New Roman"/>
          <w:b/>
          <w:sz w:val="28"/>
          <w:szCs w:val="28"/>
        </w:rPr>
        <w:t>.</w:t>
      </w:r>
    </w:p>
    <w:p w:rsidR="006D1FE3" w:rsidRPr="00966737" w:rsidRDefault="00577B24" w:rsidP="00E27DC6">
      <w:pPr>
        <w:pStyle w:val="a9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Функціональний стан імунітету багато </w:t>
      </w:r>
      <w:r w:rsidR="0076197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чому визна</w:t>
      </w:r>
      <w:r w:rsidR="00A46CFD">
        <w:rPr>
          <w:sz w:val="28"/>
          <w:szCs w:val="28"/>
          <w:lang w:val="uk-UA"/>
        </w:rPr>
        <w:t>чає ефективність системи проти</w:t>
      </w:r>
      <w:r>
        <w:rPr>
          <w:sz w:val="28"/>
          <w:szCs w:val="28"/>
          <w:lang w:val="uk-UA"/>
        </w:rPr>
        <w:t>пухлинного захисту організму. Так, уроджені або набуті ім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нодепресивні стани </w:t>
      </w:r>
      <w:r w:rsidR="0076197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</w:rPr>
        <w:t xml:space="preserve">100-1000 </w:t>
      </w:r>
      <w:r>
        <w:rPr>
          <w:sz w:val="28"/>
          <w:szCs w:val="28"/>
          <w:lang w:val="uk-UA"/>
        </w:rPr>
        <w:t>разів перевищують ризик пухлинного росту</w:t>
      </w:r>
      <w:r w:rsidR="006D1FE3" w:rsidRPr="00966737">
        <w:rPr>
          <w:sz w:val="28"/>
          <w:szCs w:val="28"/>
        </w:rPr>
        <w:t xml:space="preserve"> [106-107].</w:t>
      </w:r>
    </w:p>
    <w:p w:rsidR="006D1FE3" w:rsidRPr="00966737" w:rsidRDefault="00577B24" w:rsidP="005645D4">
      <w:pPr>
        <w:pStyle w:val="a9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Епідеміологічні дослідження показують, що захворюваність злоякісн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ми новоутвореннями, зокрема</w:t>
      </w:r>
      <w:r w:rsidR="007619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гострим лімфобластним лейкозом</w:t>
      </w:r>
      <w:r w:rsidR="00D6487F"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</w:rPr>
        <w:t xml:space="preserve">[108], </w:t>
      </w:r>
      <w:r>
        <w:rPr>
          <w:sz w:val="28"/>
          <w:szCs w:val="28"/>
          <w:lang w:val="uk-UA"/>
        </w:rPr>
        <w:t>у о</w:t>
      </w:r>
      <w:r w:rsidR="00387662">
        <w:rPr>
          <w:sz w:val="28"/>
          <w:szCs w:val="28"/>
          <w:lang w:val="uk-UA"/>
        </w:rPr>
        <w:t>сіб з імунною недостатністю вища</w:t>
      </w:r>
      <w:r>
        <w:rPr>
          <w:sz w:val="28"/>
          <w:szCs w:val="28"/>
          <w:lang w:val="uk-UA"/>
        </w:rPr>
        <w:t>, ніж у людей із нормальною імунологічною реактивністю</w:t>
      </w:r>
      <w:r w:rsidR="006D1FE3" w:rsidRPr="00966737">
        <w:rPr>
          <w:sz w:val="28"/>
          <w:szCs w:val="28"/>
        </w:rPr>
        <w:t>.</w:t>
      </w:r>
    </w:p>
    <w:p w:rsidR="006D1FE3" w:rsidRPr="00966737" w:rsidRDefault="00577B24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іншого боку, пухлинний процес, що виник, впливає на функціонува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системи імунітету, тобто розвиток злоякісного новоутворення супров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джується зміною імунологічного статусу хворих</w:t>
      </w:r>
      <w:r w:rsidR="006D1FE3" w:rsidRPr="00966737">
        <w:rPr>
          <w:sz w:val="28"/>
          <w:szCs w:val="28"/>
        </w:rPr>
        <w:t xml:space="preserve"> [109-110].</w:t>
      </w:r>
    </w:p>
    <w:p w:rsidR="006D1FE3" w:rsidRPr="00966737" w:rsidRDefault="00577B24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Наявні експериментальні докази імунодепресивної дії різних пухлин</w:t>
      </w:r>
      <w:r w:rsidR="006D1FE3" w:rsidRPr="00966737">
        <w:rPr>
          <w:sz w:val="28"/>
          <w:szCs w:val="28"/>
        </w:rPr>
        <w:t xml:space="preserve"> [111], </w:t>
      </w:r>
      <w:r>
        <w:rPr>
          <w:sz w:val="28"/>
          <w:szCs w:val="28"/>
          <w:lang w:val="uk-UA"/>
        </w:rPr>
        <w:t>у тому числі й лейкозів</w:t>
      </w:r>
      <w:r w:rsidR="006D1FE3" w:rsidRPr="00966737">
        <w:rPr>
          <w:sz w:val="28"/>
          <w:szCs w:val="28"/>
        </w:rPr>
        <w:t xml:space="preserve"> [112].</w:t>
      </w:r>
    </w:p>
    <w:p w:rsidR="006D1FE3" w:rsidRPr="00966737" w:rsidRDefault="00577B24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Таким чином, очевидно, що якщо порушення імунологічної реактивн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сті можуть бути сприятливим фоном для розвитку лейкозу, то й сам лейко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ний процес суттєво впливає на імунологічний статус хворого.</w:t>
      </w:r>
    </w:p>
    <w:p w:rsidR="006D1FE3" w:rsidRPr="00577B24" w:rsidRDefault="00577B24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у хворих </w:t>
      </w:r>
      <w:r w:rsidR="003B13DF">
        <w:rPr>
          <w:sz w:val="28"/>
          <w:szCs w:val="28"/>
          <w:lang w:val="uk-UA"/>
        </w:rPr>
        <w:t>на лейкоз</w:t>
      </w:r>
      <w:r>
        <w:rPr>
          <w:sz w:val="28"/>
          <w:szCs w:val="28"/>
          <w:lang w:val="uk-UA"/>
        </w:rPr>
        <w:t xml:space="preserve"> у результаті їх лікування цитостатичними препаратами розвиваються імунодефіцитні стани, зумовлені імунологічними порушеннями. Причому страждає не лише загальний, але й місцевий імунітет порожнини рота, що супроводжується виникненням інфекційних процесів у тканинах, що виконують бар</w:t>
      </w:r>
      <w:r w:rsidRPr="00577B24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єрну функцію, </w:t>
      </w:r>
      <w:r w:rsidR="001A323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яких відноситься СОПР</w:t>
      </w:r>
      <w:r w:rsidR="006D1FE3" w:rsidRPr="00577B24">
        <w:rPr>
          <w:sz w:val="28"/>
          <w:szCs w:val="28"/>
          <w:lang w:val="uk-UA"/>
        </w:rPr>
        <w:t xml:space="preserve"> [113-123].</w:t>
      </w:r>
    </w:p>
    <w:p w:rsidR="006D1FE3" w:rsidRPr="00966737" w:rsidRDefault="00E37279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1344D0">
        <w:rPr>
          <w:sz w:val="28"/>
          <w:szCs w:val="28"/>
          <w:lang w:val="uk-UA"/>
        </w:rPr>
        <w:t xml:space="preserve"> роботах останніх років відмічається важлива роль імуноглобулінів у патогенезі різних уражень тканин порожнини рота</w:t>
      </w:r>
      <w:r w:rsidR="006D1FE3" w:rsidRPr="00966737">
        <w:rPr>
          <w:sz w:val="28"/>
          <w:szCs w:val="28"/>
        </w:rPr>
        <w:t xml:space="preserve"> [124-129]. </w:t>
      </w:r>
      <w:r w:rsidR="001344D0">
        <w:rPr>
          <w:sz w:val="28"/>
          <w:szCs w:val="28"/>
          <w:lang w:val="uk-UA"/>
        </w:rPr>
        <w:t>Так, встановл</w:t>
      </w:r>
      <w:r w:rsidR="001344D0">
        <w:rPr>
          <w:sz w:val="28"/>
          <w:szCs w:val="28"/>
          <w:lang w:val="uk-UA"/>
        </w:rPr>
        <w:t>е</w:t>
      </w:r>
      <w:r w:rsidR="001344D0">
        <w:rPr>
          <w:sz w:val="28"/>
          <w:szCs w:val="28"/>
          <w:lang w:val="uk-UA"/>
        </w:rPr>
        <w:t>ний факт посилення синтезу імуноглобулінів</w:t>
      </w:r>
      <w:r w:rsidR="001A3232">
        <w:rPr>
          <w:sz w:val="28"/>
          <w:szCs w:val="28"/>
          <w:lang w:val="uk-UA"/>
        </w:rPr>
        <w:t xml:space="preserve"> </w:t>
      </w:r>
      <w:r w:rsidR="006D1FE3" w:rsidRPr="00966737">
        <w:rPr>
          <w:rStyle w:val="ab"/>
          <w:b w:val="0"/>
          <w:sz w:val="28"/>
          <w:szCs w:val="28"/>
        </w:rPr>
        <w:t>(А, G, М)</w:t>
      </w:r>
      <w:r w:rsidR="001A3232">
        <w:rPr>
          <w:rStyle w:val="ab"/>
          <w:b w:val="0"/>
          <w:sz w:val="28"/>
          <w:szCs w:val="28"/>
          <w:lang w:val="uk-UA"/>
        </w:rPr>
        <w:t xml:space="preserve"> </w:t>
      </w:r>
      <w:r w:rsidR="001344D0">
        <w:rPr>
          <w:sz w:val="28"/>
          <w:szCs w:val="28"/>
          <w:lang w:val="uk-UA"/>
        </w:rPr>
        <w:t>в уражених яснах</w:t>
      </w:r>
      <w:r w:rsidR="006D1FE3" w:rsidRPr="00966737">
        <w:rPr>
          <w:sz w:val="28"/>
          <w:szCs w:val="28"/>
        </w:rPr>
        <w:t xml:space="preserve">. </w:t>
      </w:r>
      <w:r w:rsidR="001344D0">
        <w:rPr>
          <w:sz w:val="28"/>
          <w:szCs w:val="28"/>
          <w:lang w:val="uk-UA"/>
        </w:rPr>
        <w:t>Це відповідає дослідженням, що показали підвищений вміст імуноглобулінів при захворюваннях пародонту</w:t>
      </w:r>
      <w:r w:rsidR="006D1FE3" w:rsidRPr="00966737">
        <w:rPr>
          <w:sz w:val="28"/>
          <w:szCs w:val="28"/>
        </w:rPr>
        <w:t xml:space="preserve"> [130].</w:t>
      </w:r>
    </w:p>
    <w:p w:rsidR="006D1FE3" w:rsidRPr="00966737" w:rsidRDefault="00C35A14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Дані про вміст </w:t>
      </w:r>
      <w:r w:rsidR="006D1FE3" w:rsidRPr="00966737">
        <w:rPr>
          <w:rStyle w:val="6"/>
          <w:b w:val="0"/>
          <w:sz w:val="28"/>
          <w:szCs w:val="28"/>
        </w:rPr>
        <w:t xml:space="preserve">IgG </w:t>
      </w:r>
      <w:r w:rsidRPr="001A3232">
        <w:rPr>
          <w:rStyle w:val="6"/>
          <w:b w:val="0"/>
          <w:i w:val="0"/>
          <w:sz w:val="28"/>
          <w:szCs w:val="28"/>
          <w:lang w:val="uk-UA"/>
        </w:rPr>
        <w:t>та</w:t>
      </w:r>
      <w:r w:rsidR="006D1FE3" w:rsidRPr="00966737">
        <w:rPr>
          <w:rStyle w:val="6"/>
          <w:b w:val="0"/>
          <w:sz w:val="28"/>
          <w:szCs w:val="28"/>
        </w:rPr>
        <w:t xml:space="preserve"> IgА </w:t>
      </w:r>
      <w:r>
        <w:rPr>
          <w:sz w:val="28"/>
          <w:szCs w:val="28"/>
          <w:lang w:val="uk-UA"/>
        </w:rPr>
        <w:t>неоднозначні, оскільки</w:t>
      </w:r>
      <w:r w:rsidR="002D2E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</w:t>
      </w:r>
      <w:r w:rsidR="002D2E8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одни</w:t>
      </w:r>
      <w:r w:rsidR="002D2E8D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досл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джен</w:t>
      </w:r>
      <w:r w:rsidR="002D2E8D">
        <w:rPr>
          <w:sz w:val="28"/>
          <w:szCs w:val="28"/>
          <w:lang w:val="uk-UA"/>
        </w:rPr>
        <w:t>нями,</w:t>
      </w:r>
      <w:r>
        <w:rPr>
          <w:sz w:val="28"/>
          <w:szCs w:val="28"/>
          <w:lang w:val="uk-UA"/>
        </w:rPr>
        <w:t xml:space="preserve"> при запальних процесах у пародонті відбувається збільшення рі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ня </w:t>
      </w:r>
      <w:r w:rsidR="006D1FE3" w:rsidRPr="00966737">
        <w:rPr>
          <w:rStyle w:val="6"/>
          <w:b w:val="0"/>
          <w:sz w:val="28"/>
          <w:szCs w:val="28"/>
        </w:rPr>
        <w:t>Ig</w:t>
      </w:r>
      <w:r w:rsidR="006D1FE3" w:rsidRPr="00966737">
        <w:rPr>
          <w:rStyle w:val="ab"/>
          <w:b w:val="0"/>
          <w:sz w:val="28"/>
          <w:szCs w:val="28"/>
        </w:rPr>
        <w:t>А</w:t>
      </w:r>
      <w:r w:rsidR="006D1FE3" w:rsidRPr="00966737">
        <w:rPr>
          <w:b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тоді як інші  свідчать про незмінні рівні</w:t>
      </w:r>
      <w:r w:rsidR="001A3232">
        <w:rPr>
          <w:sz w:val="28"/>
          <w:szCs w:val="28"/>
          <w:lang w:val="uk-UA"/>
        </w:rPr>
        <w:t xml:space="preserve"> </w:t>
      </w:r>
      <w:r w:rsidR="006D1FE3" w:rsidRPr="00966737">
        <w:rPr>
          <w:rStyle w:val="6"/>
          <w:b w:val="0"/>
          <w:sz w:val="28"/>
          <w:szCs w:val="28"/>
        </w:rPr>
        <w:t>Ig</w:t>
      </w:r>
      <w:r w:rsidR="006D1FE3" w:rsidRPr="00966737">
        <w:rPr>
          <w:rStyle w:val="ab"/>
          <w:b w:val="0"/>
          <w:sz w:val="28"/>
          <w:szCs w:val="28"/>
        </w:rPr>
        <w:t>А</w:t>
      </w:r>
      <w:r w:rsidR="006D1FE3" w:rsidRPr="00966737">
        <w:rPr>
          <w:sz w:val="28"/>
          <w:szCs w:val="28"/>
        </w:rPr>
        <w:t>[131].</w:t>
      </w:r>
    </w:p>
    <w:p w:rsidR="006D1FE3" w:rsidRPr="00966737" w:rsidRDefault="00C35A14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Секреторний імуноглобулін </w:t>
      </w:r>
      <w:r w:rsidR="006D1FE3" w:rsidRPr="00966737">
        <w:rPr>
          <w:rStyle w:val="ab"/>
          <w:b w:val="0"/>
          <w:sz w:val="28"/>
          <w:szCs w:val="28"/>
        </w:rPr>
        <w:t>А</w:t>
      </w:r>
      <w:r w:rsidR="001A3232">
        <w:rPr>
          <w:rStyle w:val="ab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слини може бути визнаний основним фа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тором захисту слизових оболонок від дії пошкоджуючих агентів - низьких температур, мікробів, алергенів</w:t>
      </w:r>
      <w:r w:rsidR="006D1FE3" w:rsidRPr="00966737">
        <w:rPr>
          <w:sz w:val="28"/>
          <w:szCs w:val="28"/>
        </w:rPr>
        <w:t xml:space="preserve"> [131-132].</w:t>
      </w:r>
    </w:p>
    <w:p w:rsidR="006D1FE3" w:rsidRPr="00966737" w:rsidRDefault="00C35A14" w:rsidP="00E27DC6">
      <w:pPr>
        <w:pStyle w:val="a9"/>
        <w:shd w:val="clear" w:color="auto" w:fill="auto"/>
        <w:tabs>
          <w:tab w:val="left" w:pos="4351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Результати досліджень показників місцевого імунітету </w:t>
      </w:r>
      <w:r w:rsidR="002D2E8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секреті ротової порожнини показали, що </w:t>
      </w:r>
      <w:r w:rsidR="002D2E8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групі здорових дітей переважним класом імуно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лобулінів є </w:t>
      </w:r>
      <w:r w:rsidR="006D1FE3" w:rsidRPr="00966737">
        <w:rPr>
          <w:rStyle w:val="6"/>
          <w:b w:val="0"/>
          <w:sz w:val="28"/>
          <w:szCs w:val="28"/>
        </w:rPr>
        <w:t>Ig</w:t>
      </w:r>
      <w:r w:rsidR="006D1FE3" w:rsidRPr="00966737">
        <w:rPr>
          <w:rStyle w:val="ab"/>
          <w:b w:val="0"/>
          <w:sz w:val="28"/>
          <w:szCs w:val="28"/>
        </w:rPr>
        <w:t>А</w:t>
      </w:r>
      <w:r w:rsidR="006D1FE3" w:rsidRPr="00966737">
        <w:rPr>
          <w:i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концентрація якого в середньому складає </w:t>
      </w:r>
      <w:r w:rsidR="006D1FE3" w:rsidRPr="00966737">
        <w:rPr>
          <w:sz w:val="28"/>
          <w:szCs w:val="28"/>
        </w:rPr>
        <w:t>0,39 г/л [128, 132-134].</w:t>
      </w:r>
    </w:p>
    <w:p w:rsidR="006D1FE3" w:rsidRPr="00966737" w:rsidRDefault="00C35A14" w:rsidP="00E27DC6">
      <w:pPr>
        <w:pStyle w:val="a9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Встановлено, що в умовах тривалого впливу стресових факторів, падіння резистентності, перевтоми та високого ступен</w:t>
      </w:r>
      <w:r w:rsidR="002D2E8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алергізації вміст у слині ім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ноглобулінів, а особливо </w:t>
      </w:r>
      <w:r w:rsidR="006D1FE3" w:rsidRPr="00966737">
        <w:rPr>
          <w:rStyle w:val="6"/>
          <w:b w:val="0"/>
          <w:sz w:val="28"/>
          <w:szCs w:val="28"/>
        </w:rPr>
        <w:t>Ig</w:t>
      </w:r>
      <w:r w:rsidR="00D756D8" w:rsidRPr="00966737">
        <w:rPr>
          <w:rStyle w:val="ab"/>
          <w:b w:val="0"/>
          <w:sz w:val="28"/>
          <w:szCs w:val="28"/>
        </w:rPr>
        <w:t>А</w:t>
      </w:r>
      <w:r w:rsidR="006D1FE3" w:rsidRPr="00966737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значно падає</w:t>
      </w:r>
      <w:r w:rsidR="006D1FE3" w:rsidRPr="00966737">
        <w:rPr>
          <w:sz w:val="28"/>
          <w:szCs w:val="28"/>
        </w:rPr>
        <w:t xml:space="preserve"> [135].</w:t>
      </w:r>
    </w:p>
    <w:p w:rsidR="006D1FE3" w:rsidRPr="00966737" w:rsidRDefault="00C35A14" w:rsidP="00E27DC6">
      <w:pPr>
        <w:pStyle w:val="a9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Дослідження ряду авторів показали, що вже на</w:t>
      </w:r>
      <w:r w:rsidR="009236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початку захворювання пародонту вміст </w:t>
      </w:r>
      <w:r w:rsidR="006D1FE3" w:rsidRPr="00966737">
        <w:rPr>
          <w:rStyle w:val="6"/>
          <w:b w:val="0"/>
          <w:sz w:val="28"/>
          <w:szCs w:val="28"/>
        </w:rPr>
        <w:t>Ig</w:t>
      </w:r>
      <w:r w:rsidR="00D756D8" w:rsidRPr="00966737">
        <w:rPr>
          <w:rStyle w:val="ab"/>
          <w:b w:val="0"/>
          <w:sz w:val="28"/>
          <w:szCs w:val="28"/>
        </w:rPr>
        <w:t>А</w:t>
      </w:r>
      <w:r w:rsidR="001A3232">
        <w:rPr>
          <w:rStyle w:val="ab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ясенній рідині та слині знижується, що створює спр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ятливі умови для прогресування запального процесу </w:t>
      </w:r>
      <w:r w:rsidR="002D2E8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тканинах пародонт</w:t>
      </w:r>
      <w:r w:rsidR="002D2E8D">
        <w:rPr>
          <w:sz w:val="28"/>
          <w:szCs w:val="28"/>
          <w:lang w:val="uk-UA"/>
        </w:rPr>
        <w:t>а</w:t>
      </w:r>
      <w:r w:rsidR="006D1FE3" w:rsidRPr="00966737">
        <w:rPr>
          <w:sz w:val="28"/>
          <w:szCs w:val="28"/>
        </w:rPr>
        <w:t xml:space="preserve"> [131-135].</w:t>
      </w:r>
    </w:p>
    <w:p w:rsidR="006D1FE3" w:rsidRPr="008714CE" w:rsidRDefault="00C35A14" w:rsidP="00E27DC6">
      <w:pPr>
        <w:pStyle w:val="a9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Аналізуючи зміни рівня імуноглобулінів у процесі розвитку запалення, необхідно пам</w:t>
      </w:r>
      <w:r w:rsidRPr="00C35A14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ятати про те, що дія продуктів запального осередку різноман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тн</w:t>
      </w:r>
      <w:r w:rsidR="001A323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залежить від багатьох причин</w:t>
      </w:r>
      <w:r w:rsidR="006D1FE3" w:rsidRPr="00966737">
        <w:rPr>
          <w:sz w:val="28"/>
          <w:szCs w:val="28"/>
        </w:rPr>
        <w:t>.</w:t>
      </w:r>
      <w:r w:rsidR="00923674">
        <w:rPr>
          <w:sz w:val="28"/>
          <w:szCs w:val="28"/>
          <w:lang w:val="uk-UA"/>
        </w:rPr>
        <w:t xml:space="preserve"> Тому, не дивлячис</w:t>
      </w:r>
      <w:r>
        <w:rPr>
          <w:sz w:val="28"/>
          <w:szCs w:val="28"/>
          <w:lang w:val="uk-UA"/>
        </w:rPr>
        <w:t>ь на наявність з</w:t>
      </w:r>
      <w:r w:rsidR="002D2E8D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 xml:space="preserve"> цих показників у процесі запалення, встановити чітку закономірність цих змін важко</w:t>
      </w:r>
      <w:r w:rsidR="006D1FE3" w:rsidRPr="009667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Крім того, постійно наявні </w:t>
      </w:r>
      <w:r w:rsidR="006A7ED9">
        <w:rPr>
          <w:sz w:val="28"/>
          <w:szCs w:val="28"/>
          <w:lang w:val="uk-UA"/>
        </w:rPr>
        <w:t>переходи рівн</w:t>
      </w:r>
      <w:r w:rsidR="002D2E8D">
        <w:rPr>
          <w:sz w:val="28"/>
          <w:szCs w:val="28"/>
          <w:lang w:val="uk-UA"/>
        </w:rPr>
        <w:t>ів</w:t>
      </w:r>
      <w:r w:rsidR="006A7ED9">
        <w:rPr>
          <w:sz w:val="28"/>
          <w:szCs w:val="28"/>
          <w:lang w:val="uk-UA"/>
        </w:rPr>
        <w:t xml:space="preserve"> імуноглобу</w:t>
      </w:r>
      <w:r w:rsidR="001A3232">
        <w:rPr>
          <w:sz w:val="28"/>
          <w:szCs w:val="28"/>
          <w:lang w:val="uk-UA"/>
        </w:rPr>
        <w:t>л</w:t>
      </w:r>
      <w:r w:rsidR="006A7ED9">
        <w:rPr>
          <w:sz w:val="28"/>
          <w:szCs w:val="28"/>
          <w:lang w:val="uk-UA"/>
        </w:rPr>
        <w:t>інів рі</w:t>
      </w:r>
      <w:r w:rsidR="006A7ED9">
        <w:rPr>
          <w:sz w:val="28"/>
          <w:szCs w:val="28"/>
          <w:lang w:val="uk-UA"/>
        </w:rPr>
        <w:t>з</w:t>
      </w:r>
      <w:r w:rsidR="006A7ED9">
        <w:rPr>
          <w:sz w:val="28"/>
          <w:szCs w:val="28"/>
          <w:lang w:val="uk-UA"/>
        </w:rPr>
        <w:t>них класів від зниження до п</w:t>
      </w:r>
      <w:r w:rsidR="009F7D19">
        <w:rPr>
          <w:sz w:val="28"/>
          <w:szCs w:val="28"/>
          <w:lang w:val="uk-UA"/>
        </w:rPr>
        <w:t xml:space="preserve">ідвищення, які важко порівняти </w:t>
      </w:r>
      <w:r w:rsidR="006A7ED9">
        <w:rPr>
          <w:sz w:val="28"/>
          <w:szCs w:val="28"/>
          <w:lang w:val="uk-UA"/>
        </w:rPr>
        <w:t>з клінічною ка</w:t>
      </w:r>
      <w:r w:rsidR="006A7ED9">
        <w:rPr>
          <w:sz w:val="28"/>
          <w:szCs w:val="28"/>
          <w:lang w:val="uk-UA"/>
        </w:rPr>
        <w:t>р</w:t>
      </w:r>
      <w:r w:rsidR="006A7ED9">
        <w:rPr>
          <w:sz w:val="28"/>
          <w:szCs w:val="28"/>
          <w:lang w:val="uk-UA"/>
        </w:rPr>
        <w:t>тиною</w:t>
      </w:r>
      <w:r w:rsidR="001A3232">
        <w:rPr>
          <w:sz w:val="28"/>
          <w:szCs w:val="28"/>
          <w:lang w:val="uk-UA"/>
        </w:rPr>
        <w:t xml:space="preserve"> </w:t>
      </w:r>
      <w:r w:rsidR="006D1FE3" w:rsidRPr="008714CE">
        <w:rPr>
          <w:sz w:val="28"/>
          <w:szCs w:val="28"/>
          <w:lang w:val="uk-UA"/>
        </w:rPr>
        <w:t>[126, 129, 137].</w:t>
      </w:r>
    </w:p>
    <w:p w:rsidR="006D1FE3" w:rsidRPr="00966737" w:rsidRDefault="006A7ED9" w:rsidP="00E27DC6">
      <w:pPr>
        <w:pStyle w:val="a9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 гострих лімфобластних лейкозах відбувається зн</w:t>
      </w:r>
      <w:r w:rsidR="001A32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ження антибакт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ріального протиінфекційного захисту організму та розвито</w:t>
      </w:r>
      <w:r w:rsidR="001A3232">
        <w:rPr>
          <w:sz w:val="28"/>
          <w:szCs w:val="28"/>
          <w:lang w:val="uk-UA"/>
        </w:rPr>
        <w:t>к</w:t>
      </w:r>
      <w:r w:rsidR="002D2E8D">
        <w:rPr>
          <w:sz w:val="28"/>
          <w:szCs w:val="28"/>
          <w:lang w:val="uk-UA"/>
        </w:rPr>
        <w:t xml:space="preserve"> різних запа</w:t>
      </w:r>
      <w:r>
        <w:rPr>
          <w:sz w:val="28"/>
          <w:szCs w:val="28"/>
          <w:lang w:val="uk-UA"/>
        </w:rPr>
        <w:t>льних процесів у порожнині рота</w:t>
      </w:r>
      <w:r w:rsidR="006D1FE3" w:rsidRPr="009667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Це підтверджується дослідженнями, згідно</w:t>
      </w:r>
      <w:r w:rsidR="002D2E8D">
        <w:rPr>
          <w:sz w:val="28"/>
          <w:szCs w:val="28"/>
          <w:lang w:val="uk-UA"/>
        </w:rPr>
        <w:t xml:space="preserve"> з якими</w:t>
      </w:r>
      <w:r>
        <w:rPr>
          <w:sz w:val="28"/>
          <w:szCs w:val="28"/>
          <w:lang w:val="uk-UA"/>
        </w:rPr>
        <w:t xml:space="preserve"> при ГЛЛ відбувається пригнічення фагоцитарної активності гранул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цитів, зменшення рівня лізоцим</w:t>
      </w:r>
      <w:r w:rsidRPr="009F7D19">
        <w:rPr>
          <w:sz w:val="28"/>
          <w:szCs w:val="28"/>
          <w:lang w:val="uk-UA"/>
        </w:rPr>
        <w:t xml:space="preserve">а та </w:t>
      </w:r>
      <w:r w:rsidR="009F7D19" w:rsidRPr="009F7D19">
        <w:rPr>
          <w:sz w:val="28"/>
          <w:szCs w:val="28"/>
          <w:lang w:val="uk-UA"/>
        </w:rPr>
        <w:t>лізи</w:t>
      </w:r>
      <w:r w:rsidRPr="009F7D19">
        <w:rPr>
          <w:sz w:val="28"/>
          <w:szCs w:val="28"/>
          <w:lang w:val="uk-UA"/>
        </w:rPr>
        <w:t>нів</w:t>
      </w:r>
      <w:r w:rsidR="006D1FE3" w:rsidRPr="006A7ED9">
        <w:rPr>
          <w:sz w:val="28"/>
          <w:szCs w:val="28"/>
          <w:lang w:val="uk-UA"/>
        </w:rPr>
        <w:t xml:space="preserve"> [138-139]. </w:t>
      </w:r>
      <w:r>
        <w:rPr>
          <w:sz w:val="28"/>
          <w:szCs w:val="28"/>
          <w:lang w:val="uk-UA"/>
        </w:rPr>
        <w:t>У стадії ремісії захв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lastRenderedPageBreak/>
        <w:t>рювання показники місцевої неспецифічної резистентності покращуються, однак не досягають норми</w:t>
      </w:r>
      <w:r w:rsidR="006D1FE3" w:rsidRPr="00966737">
        <w:rPr>
          <w:sz w:val="28"/>
          <w:szCs w:val="28"/>
        </w:rPr>
        <w:t xml:space="preserve">. </w:t>
      </w:r>
    </w:p>
    <w:p w:rsidR="006D1FE3" w:rsidRPr="00966737" w:rsidRDefault="005205F7" w:rsidP="00E27DC6">
      <w:pPr>
        <w:pStyle w:val="a9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 гострому лімфо</w:t>
      </w:r>
      <w:r w:rsidR="00866B6E">
        <w:rPr>
          <w:sz w:val="28"/>
          <w:szCs w:val="28"/>
          <w:lang w:val="uk-UA"/>
        </w:rPr>
        <w:t xml:space="preserve">бластному лейкозі активність лізоциму </w:t>
      </w:r>
      <w:r w:rsidR="006B4190">
        <w:rPr>
          <w:sz w:val="28"/>
          <w:szCs w:val="28"/>
          <w:lang w:val="uk-UA"/>
        </w:rPr>
        <w:t>в</w:t>
      </w:r>
      <w:r w:rsidR="00866B6E">
        <w:rPr>
          <w:sz w:val="28"/>
          <w:szCs w:val="28"/>
          <w:lang w:val="uk-UA"/>
        </w:rPr>
        <w:t xml:space="preserve"> сиро</w:t>
      </w:r>
      <w:r w:rsidR="001A3232">
        <w:rPr>
          <w:sz w:val="28"/>
          <w:szCs w:val="28"/>
          <w:lang w:val="uk-UA"/>
        </w:rPr>
        <w:t>в</w:t>
      </w:r>
      <w:r w:rsidR="00866B6E">
        <w:rPr>
          <w:sz w:val="28"/>
          <w:szCs w:val="28"/>
          <w:lang w:val="uk-UA"/>
        </w:rPr>
        <w:t>отці крові знижена</w:t>
      </w:r>
      <w:r w:rsidR="006D1FE3" w:rsidRPr="00966737">
        <w:rPr>
          <w:sz w:val="28"/>
          <w:szCs w:val="28"/>
        </w:rPr>
        <w:t xml:space="preserve"> [140-143]. </w:t>
      </w:r>
      <w:r w:rsidR="00866B6E">
        <w:rPr>
          <w:sz w:val="28"/>
          <w:szCs w:val="28"/>
          <w:lang w:val="uk-UA"/>
        </w:rPr>
        <w:t xml:space="preserve">Збільшення активності </w:t>
      </w:r>
      <w:r w:rsidR="006B4190">
        <w:rPr>
          <w:sz w:val="28"/>
          <w:szCs w:val="28"/>
          <w:lang w:val="uk-UA"/>
        </w:rPr>
        <w:t>л</w:t>
      </w:r>
      <w:r w:rsidR="00866B6E">
        <w:rPr>
          <w:sz w:val="28"/>
          <w:szCs w:val="28"/>
          <w:lang w:val="uk-UA"/>
        </w:rPr>
        <w:t>ізоциму часто корелює із високим лейкоцитозом, зниження</w:t>
      </w:r>
      <w:r w:rsidR="006B4190">
        <w:rPr>
          <w:sz w:val="28"/>
          <w:szCs w:val="28"/>
          <w:lang w:val="uk-UA"/>
        </w:rPr>
        <w:t xml:space="preserve"> – </w:t>
      </w:r>
      <w:r w:rsidR="00866B6E">
        <w:rPr>
          <w:sz w:val="28"/>
          <w:szCs w:val="28"/>
          <w:lang w:val="uk-UA"/>
        </w:rPr>
        <w:t xml:space="preserve"> з лейкопенією</w:t>
      </w:r>
      <w:r w:rsidR="006D1FE3" w:rsidRPr="00966737">
        <w:rPr>
          <w:sz w:val="28"/>
          <w:szCs w:val="28"/>
        </w:rPr>
        <w:t>.</w:t>
      </w:r>
    </w:p>
    <w:p w:rsidR="006D1FE3" w:rsidRPr="00866B6E" w:rsidRDefault="00866B6E" w:rsidP="00E27DC6">
      <w:pPr>
        <w:pStyle w:val="51"/>
        <w:shd w:val="clear" w:color="auto" w:fill="auto"/>
        <w:spacing w:before="0" w:line="360" w:lineRule="auto"/>
        <w:ind w:firstLine="54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Таким чином, у механізмі розвитку уражень у порожнині рота при гос</w:t>
      </w:r>
      <w:r>
        <w:rPr>
          <w:b w:val="0"/>
          <w:sz w:val="28"/>
          <w:szCs w:val="28"/>
          <w:lang w:val="uk-UA"/>
        </w:rPr>
        <w:t>т</w:t>
      </w:r>
      <w:r>
        <w:rPr>
          <w:b w:val="0"/>
          <w:sz w:val="28"/>
          <w:szCs w:val="28"/>
          <w:lang w:val="uk-UA"/>
        </w:rPr>
        <w:t>рому лімфобластному лейкозі важлива роль відводиться стану місцевого імунітету. Разом з тим, дані про характеристику місцевого імунітету при ГЛЛ суперечливі</w:t>
      </w:r>
      <w:r w:rsidR="006D1FE3" w:rsidRPr="0096673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uk-UA"/>
        </w:rPr>
        <w:t xml:space="preserve"> Так, при гострому лімфобластному лейкозі при надходженні хворих до клініки вміст імуноглобулінів у слині був збільшений, після пр</w:t>
      </w:r>
      <w:r>
        <w:rPr>
          <w:b w:val="0"/>
          <w:sz w:val="28"/>
          <w:szCs w:val="28"/>
          <w:lang w:val="uk-UA"/>
        </w:rPr>
        <w:t>о</w:t>
      </w:r>
      <w:r>
        <w:rPr>
          <w:b w:val="0"/>
          <w:sz w:val="28"/>
          <w:szCs w:val="28"/>
          <w:lang w:val="uk-UA"/>
        </w:rPr>
        <w:t>веден</w:t>
      </w:r>
      <w:r w:rsidR="002C020D">
        <w:rPr>
          <w:b w:val="0"/>
          <w:sz w:val="28"/>
          <w:szCs w:val="28"/>
          <w:lang w:val="uk-UA"/>
        </w:rPr>
        <w:t>ого курс</w:t>
      </w:r>
      <w:r w:rsidR="006B4190">
        <w:rPr>
          <w:b w:val="0"/>
          <w:sz w:val="28"/>
          <w:szCs w:val="28"/>
          <w:lang w:val="uk-UA"/>
        </w:rPr>
        <w:t>у</w:t>
      </w:r>
      <w:r w:rsidR="002C020D">
        <w:rPr>
          <w:b w:val="0"/>
          <w:sz w:val="28"/>
          <w:szCs w:val="28"/>
          <w:lang w:val="uk-UA"/>
        </w:rPr>
        <w:t xml:space="preserve"> специфічної хіміотерап</w:t>
      </w:r>
      <w:r>
        <w:rPr>
          <w:b w:val="0"/>
          <w:sz w:val="28"/>
          <w:szCs w:val="28"/>
          <w:lang w:val="uk-UA"/>
        </w:rPr>
        <w:t>ії спостерігалася тенденція до зн</w:t>
      </w:r>
      <w:r>
        <w:rPr>
          <w:b w:val="0"/>
          <w:sz w:val="28"/>
          <w:szCs w:val="28"/>
          <w:lang w:val="uk-UA"/>
        </w:rPr>
        <w:t>и</w:t>
      </w:r>
      <w:r>
        <w:rPr>
          <w:b w:val="0"/>
          <w:sz w:val="28"/>
          <w:szCs w:val="28"/>
          <w:lang w:val="uk-UA"/>
        </w:rPr>
        <w:t>ження цього показника майже до рівня норми</w:t>
      </w:r>
      <w:r w:rsidR="006D1FE3" w:rsidRPr="00866B6E">
        <w:rPr>
          <w:b w:val="0"/>
          <w:sz w:val="28"/>
          <w:szCs w:val="28"/>
          <w:lang w:val="uk-UA"/>
        </w:rPr>
        <w:t xml:space="preserve"> [133].</w:t>
      </w:r>
    </w:p>
    <w:p w:rsidR="006D1FE3" w:rsidRPr="00BB6165" w:rsidRDefault="00866B6E" w:rsidP="00E27DC6">
      <w:pPr>
        <w:pStyle w:val="a9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</w:t>
      </w:r>
      <w:r w:rsidR="006B41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інших роботах наводяться дані про різке зниження вмісту </w:t>
      </w:r>
      <w:r w:rsidR="006B419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слині секреторного </w:t>
      </w:r>
      <w:r w:rsidR="00D756D8" w:rsidRPr="00966737">
        <w:rPr>
          <w:rStyle w:val="6"/>
          <w:b w:val="0"/>
          <w:sz w:val="28"/>
          <w:szCs w:val="28"/>
        </w:rPr>
        <w:t>Ig</w:t>
      </w:r>
      <w:r w:rsidR="00D756D8" w:rsidRPr="00BB6165">
        <w:rPr>
          <w:rStyle w:val="ab"/>
          <w:b w:val="0"/>
          <w:sz w:val="28"/>
          <w:szCs w:val="28"/>
          <w:lang w:val="uk-UA"/>
        </w:rPr>
        <w:t>А</w:t>
      </w:r>
      <w:r w:rsidR="001A3232">
        <w:rPr>
          <w:rStyle w:val="ab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більшості дітей, хворих</w:t>
      </w:r>
      <w:r w:rsidR="006B4190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гостри</w:t>
      </w:r>
      <w:r w:rsidR="006B419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лімфобластни</w:t>
      </w:r>
      <w:r w:rsidR="006B419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лей</w:t>
      </w:r>
      <w:r w:rsidR="006B4190">
        <w:rPr>
          <w:sz w:val="28"/>
          <w:szCs w:val="28"/>
          <w:lang w:val="uk-UA"/>
        </w:rPr>
        <w:t xml:space="preserve">коз </w:t>
      </w:r>
      <w:r w:rsidR="00BB6165">
        <w:rPr>
          <w:sz w:val="28"/>
          <w:szCs w:val="28"/>
          <w:lang w:val="uk-UA"/>
        </w:rPr>
        <w:t xml:space="preserve"> як у активній фазі захворювання, так і </w:t>
      </w:r>
      <w:r w:rsidR="006A07BE">
        <w:rPr>
          <w:sz w:val="28"/>
          <w:szCs w:val="28"/>
          <w:lang w:val="uk-UA"/>
        </w:rPr>
        <w:t>в період ремі</w:t>
      </w:r>
      <w:r w:rsidR="00BB6165">
        <w:rPr>
          <w:sz w:val="28"/>
          <w:szCs w:val="28"/>
          <w:lang w:val="uk-UA"/>
        </w:rPr>
        <w:t>сії</w:t>
      </w:r>
      <w:r w:rsidR="006D1FE3" w:rsidRPr="00BB6165">
        <w:rPr>
          <w:sz w:val="28"/>
          <w:szCs w:val="28"/>
          <w:lang w:val="uk-UA"/>
        </w:rPr>
        <w:t xml:space="preserve"> [144].</w:t>
      </w:r>
    </w:p>
    <w:p w:rsidR="006D1FE3" w:rsidRPr="00BB6165" w:rsidRDefault="00BB6165" w:rsidP="00E27DC6">
      <w:pPr>
        <w:pStyle w:val="a9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дивлячись на неоднозначні думки з приводу вмісту імуноглобулінів у ротовій рідині, деякі автори вважають все ж доцільним проведення імунол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гічних досліджень (визначення </w:t>
      </w:r>
      <w:r w:rsidR="006D1FE3" w:rsidRPr="005C1CBC">
        <w:rPr>
          <w:rStyle w:val="4"/>
          <w:b w:val="0"/>
          <w:sz w:val="28"/>
          <w:szCs w:val="28"/>
          <w:lang w:val="ru-RU"/>
        </w:rPr>
        <w:t>IgA</w:t>
      </w:r>
      <w:r w:rsidR="006D1FE3" w:rsidRPr="00BB6165">
        <w:rPr>
          <w:rStyle w:val="4"/>
          <w:b w:val="0"/>
          <w:sz w:val="28"/>
          <w:szCs w:val="28"/>
          <w:lang w:val="uk-UA"/>
        </w:rPr>
        <w:t xml:space="preserve">, </w:t>
      </w:r>
      <w:r w:rsidR="006D1FE3" w:rsidRPr="005C1CBC">
        <w:rPr>
          <w:rStyle w:val="4"/>
          <w:b w:val="0"/>
          <w:sz w:val="28"/>
          <w:szCs w:val="28"/>
          <w:lang w:val="ru-RU"/>
        </w:rPr>
        <w:t>G</w:t>
      </w:r>
      <w:r w:rsidR="006D1FE3" w:rsidRPr="00BB6165">
        <w:rPr>
          <w:rStyle w:val="4"/>
          <w:sz w:val="28"/>
          <w:szCs w:val="28"/>
          <w:lang w:val="uk-UA"/>
        </w:rPr>
        <w:t>,</w:t>
      </w:r>
      <w:r w:rsidR="001A3232">
        <w:rPr>
          <w:rStyle w:val="4"/>
          <w:sz w:val="28"/>
          <w:szCs w:val="28"/>
          <w:lang w:val="uk-UA"/>
        </w:rPr>
        <w:t xml:space="preserve"> </w:t>
      </w:r>
      <w:r w:rsidR="006D1FE3" w:rsidRPr="00BB6165">
        <w:rPr>
          <w:sz w:val="28"/>
          <w:szCs w:val="28"/>
          <w:lang w:val="uk-UA"/>
        </w:rPr>
        <w:t xml:space="preserve">М) </w:t>
      </w:r>
      <w:r>
        <w:rPr>
          <w:sz w:val="28"/>
          <w:szCs w:val="28"/>
          <w:lang w:val="uk-UA"/>
        </w:rPr>
        <w:t>для отримання цінної інформації про адаптаційн</w:t>
      </w:r>
      <w:r w:rsidR="001A32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резерв</w:t>
      </w:r>
      <w:r w:rsidR="001A32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місцевої імунної системи та для оцінки ефективності лікування різної патології</w:t>
      </w:r>
      <w:r w:rsidR="006B4190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 xml:space="preserve"> порожнині рота</w:t>
      </w:r>
      <w:r w:rsidR="006D1FE3" w:rsidRPr="00BB6165">
        <w:rPr>
          <w:sz w:val="28"/>
          <w:szCs w:val="28"/>
          <w:lang w:val="uk-UA"/>
        </w:rPr>
        <w:t xml:space="preserve"> [145].</w:t>
      </w:r>
    </w:p>
    <w:p w:rsidR="006D1FE3" w:rsidRPr="00BB6165" w:rsidRDefault="00CF2C93" w:rsidP="00E27DC6">
      <w:pPr>
        <w:pStyle w:val="a9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інфекції є однією </w:t>
      </w:r>
      <w:r w:rsidR="00BB6165">
        <w:rPr>
          <w:sz w:val="28"/>
          <w:szCs w:val="28"/>
          <w:lang w:val="uk-UA"/>
        </w:rPr>
        <w:t>з найчастіших причин смерті хворих із го</w:t>
      </w:r>
      <w:r w:rsidR="00BB6165">
        <w:rPr>
          <w:sz w:val="28"/>
          <w:szCs w:val="28"/>
          <w:lang w:val="uk-UA"/>
        </w:rPr>
        <w:t>с</w:t>
      </w:r>
      <w:r w:rsidR="00BB6165">
        <w:rPr>
          <w:sz w:val="28"/>
          <w:szCs w:val="28"/>
          <w:lang w:val="uk-UA"/>
        </w:rPr>
        <w:t>трим лімфобластним лейкозом, що піддавалися високодозній хіміотерапії</w:t>
      </w:r>
      <w:r w:rsidR="006D1FE3" w:rsidRPr="00BB6165">
        <w:rPr>
          <w:sz w:val="28"/>
          <w:szCs w:val="28"/>
          <w:lang w:val="uk-UA"/>
        </w:rPr>
        <w:t xml:space="preserve"> [146].</w:t>
      </w:r>
    </w:p>
    <w:p w:rsidR="006D1FE3" w:rsidRPr="00BB6165" w:rsidRDefault="00BB6165" w:rsidP="00E27DC6">
      <w:pPr>
        <w:pStyle w:val="a9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причин розвитку інфекційних ускладнень, окрім лейкоцитопенії та імуносупресії </w:t>
      </w:r>
      <w:r w:rsidR="006D1FE3" w:rsidRPr="00BB616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медикаментозних або пов</w:t>
      </w:r>
      <w:r w:rsidRPr="00BB6165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язаних і</w:t>
      </w:r>
      <w:r w:rsidR="001A323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пухлинною прогресією</w:t>
      </w:r>
      <w:r w:rsidR="006D1FE3" w:rsidRPr="00BB616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можна назвати також зниження кілерної здатності лейкоцитів, а також зме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шення рівня імуноглобулінів та відстрочену чутливість до хіміотерапії</w:t>
      </w:r>
      <w:r w:rsidR="006D1FE3" w:rsidRPr="00BB6165">
        <w:rPr>
          <w:sz w:val="28"/>
          <w:szCs w:val="28"/>
          <w:lang w:val="uk-UA"/>
        </w:rPr>
        <w:t xml:space="preserve"> [147].</w:t>
      </w:r>
    </w:p>
    <w:p w:rsidR="006D1FE3" w:rsidRPr="006B1863" w:rsidRDefault="00BB6165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Мікрофлора порожнини рота розглядається як первинна мішень для будь-якого фактору, який прямо або опосередковано впливає на адгезію, </w:t>
      </w:r>
      <w:r w:rsidR="006B1863">
        <w:rPr>
          <w:sz w:val="28"/>
          <w:szCs w:val="28"/>
          <w:lang w:val="uk-UA"/>
        </w:rPr>
        <w:t>к</w:t>
      </w:r>
      <w:r w:rsidR="006B1863">
        <w:rPr>
          <w:sz w:val="28"/>
          <w:szCs w:val="28"/>
          <w:lang w:val="uk-UA"/>
        </w:rPr>
        <w:t>о</w:t>
      </w:r>
      <w:r w:rsidR="006B1863">
        <w:rPr>
          <w:sz w:val="28"/>
          <w:szCs w:val="28"/>
          <w:lang w:val="uk-UA"/>
        </w:rPr>
        <w:t>лонізаційну резистентність резидентної, транзиторної та додаткової мікро</w:t>
      </w:r>
      <w:r w:rsidR="006B1863">
        <w:rPr>
          <w:sz w:val="28"/>
          <w:szCs w:val="28"/>
          <w:lang w:val="uk-UA"/>
        </w:rPr>
        <w:t>ф</w:t>
      </w:r>
      <w:r w:rsidR="006B1863">
        <w:rPr>
          <w:sz w:val="28"/>
          <w:szCs w:val="28"/>
          <w:lang w:val="uk-UA"/>
        </w:rPr>
        <w:lastRenderedPageBreak/>
        <w:t>лори</w:t>
      </w:r>
      <w:r w:rsidR="006D1FE3" w:rsidRPr="006B1863">
        <w:rPr>
          <w:sz w:val="28"/>
          <w:szCs w:val="28"/>
          <w:lang w:val="uk-UA"/>
        </w:rPr>
        <w:t xml:space="preserve"> [148]. </w:t>
      </w:r>
      <w:r w:rsidR="001A3232">
        <w:rPr>
          <w:sz w:val="28"/>
          <w:szCs w:val="28"/>
          <w:lang w:val="uk-UA"/>
        </w:rPr>
        <w:t xml:space="preserve">Порожнина рота – </w:t>
      </w:r>
      <w:r w:rsidR="006B1863">
        <w:rPr>
          <w:sz w:val="28"/>
          <w:szCs w:val="28"/>
          <w:lang w:val="uk-UA"/>
        </w:rPr>
        <w:t xml:space="preserve">можливий </w:t>
      </w:r>
      <w:r w:rsidR="006D1FE3" w:rsidRPr="00966737">
        <w:rPr>
          <w:sz w:val="28"/>
          <w:szCs w:val="28"/>
        </w:rPr>
        <w:t xml:space="preserve">«резервуар» </w:t>
      </w:r>
      <w:r w:rsidR="006B1863">
        <w:rPr>
          <w:sz w:val="28"/>
          <w:szCs w:val="28"/>
          <w:lang w:val="uk-UA"/>
        </w:rPr>
        <w:t>для мікроорганізмів, як постійних, так і набутих, чия патогенність посилюється в умовах проведення хіміотерапії</w:t>
      </w:r>
      <w:r w:rsidR="006D1FE3" w:rsidRPr="00966737">
        <w:rPr>
          <w:sz w:val="28"/>
          <w:szCs w:val="28"/>
        </w:rPr>
        <w:t>.</w:t>
      </w:r>
    </w:p>
    <w:p w:rsidR="006D1FE3" w:rsidRPr="00966737" w:rsidRDefault="006B1863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Мікробіологічні дослідження є основою для визначення тактики лік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вання інфекцій </w:t>
      </w:r>
      <w:r w:rsidR="006B419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імунокомпрометованих хворих</w:t>
      </w:r>
      <w:r w:rsidR="006D1FE3" w:rsidRPr="00966737">
        <w:rPr>
          <w:sz w:val="28"/>
          <w:szCs w:val="28"/>
        </w:rPr>
        <w:t xml:space="preserve"> [149].</w:t>
      </w:r>
    </w:p>
    <w:p w:rsidR="006D1FE3" w:rsidRPr="00966737" w:rsidRDefault="006B1863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Розвиток гострого лімфобластного лейкозу супроводжується поруше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</w:t>
      </w:r>
      <w:r w:rsidR="006B4190">
        <w:rPr>
          <w:sz w:val="28"/>
          <w:szCs w:val="28"/>
          <w:lang w:val="uk-UA"/>
        </w:rPr>
        <w:t>м функціонування основних захис</w:t>
      </w:r>
      <w:r>
        <w:rPr>
          <w:sz w:val="28"/>
          <w:szCs w:val="28"/>
          <w:lang w:val="uk-UA"/>
        </w:rPr>
        <w:t>них систем макроорганізм</w:t>
      </w:r>
      <w:r w:rsidR="003616E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у тому числі імунної системи, змінюючи взаємовідносини мікроорганізмів, що населяють ротову порожнину</w:t>
      </w:r>
      <w:r w:rsidR="006D1FE3" w:rsidRPr="009667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При цьому щільність мікробних популяцій, колонізуючих </w:t>
      </w:r>
      <w:r w:rsidR="006D1FE3" w:rsidRPr="00966737">
        <w:rPr>
          <w:sz w:val="28"/>
          <w:szCs w:val="28"/>
        </w:rPr>
        <w:t xml:space="preserve">СОПР, </w:t>
      </w:r>
      <w:r>
        <w:rPr>
          <w:sz w:val="28"/>
          <w:szCs w:val="28"/>
          <w:lang w:val="uk-UA"/>
        </w:rPr>
        <w:t>стає наближеною до бактеріального наповнення зубного нальоту</w:t>
      </w:r>
      <w:r w:rsidR="006D1FE3" w:rsidRPr="00966737">
        <w:rPr>
          <w:sz w:val="28"/>
          <w:szCs w:val="28"/>
        </w:rPr>
        <w:t>.</w:t>
      </w:r>
    </w:p>
    <w:p w:rsidR="006D1FE3" w:rsidRPr="00966737" w:rsidRDefault="006B1863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Дослідження мікрофлори порожнини рота у хворих</w:t>
      </w:r>
      <w:r w:rsidR="006B4190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гостри</w:t>
      </w:r>
      <w:r w:rsidR="006B419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лімфо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ластни</w:t>
      </w:r>
      <w:r w:rsidR="006B4190">
        <w:rPr>
          <w:sz w:val="28"/>
          <w:szCs w:val="28"/>
          <w:lang w:val="uk-UA"/>
        </w:rPr>
        <w:t>й лейкоз</w:t>
      </w:r>
      <w:r>
        <w:rPr>
          <w:sz w:val="28"/>
          <w:szCs w:val="28"/>
          <w:lang w:val="uk-UA"/>
        </w:rPr>
        <w:t xml:space="preserve"> показало, що </w:t>
      </w:r>
      <w:r w:rsidR="006B419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мікробіоценозі даної групи осіб відбуваються досить значні зміни, як у якісному, так і </w:t>
      </w:r>
      <w:r w:rsidR="006B419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кількісному відношенні</w:t>
      </w:r>
      <w:r w:rsidR="006D1FE3" w:rsidRPr="00966737">
        <w:rPr>
          <w:sz w:val="28"/>
          <w:szCs w:val="28"/>
        </w:rPr>
        <w:t xml:space="preserve"> [150].</w:t>
      </w:r>
    </w:p>
    <w:p w:rsidR="006D1FE3" w:rsidRPr="00966737" w:rsidRDefault="006B1863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Багато дослідників, вивчаючи ураження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>при лейкозах, висловл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ють думку, що умовно-патогенна флора порожнини рота стає патогенною при зниженні природної резистентності</w:t>
      </w:r>
      <w:r w:rsidR="006D1FE3" w:rsidRPr="00966737">
        <w:rPr>
          <w:sz w:val="28"/>
          <w:szCs w:val="28"/>
        </w:rPr>
        <w:t xml:space="preserve"> [150-154]. </w:t>
      </w:r>
      <w:r>
        <w:rPr>
          <w:sz w:val="28"/>
          <w:szCs w:val="28"/>
          <w:lang w:val="uk-UA"/>
        </w:rPr>
        <w:t xml:space="preserve">Висока мікробна щільність бактеріальних співтовариств, колонізуючих </w:t>
      </w:r>
      <w:r w:rsidR="006D1FE3" w:rsidRPr="00966737">
        <w:rPr>
          <w:sz w:val="28"/>
          <w:szCs w:val="28"/>
        </w:rPr>
        <w:t xml:space="preserve">СОПР, </w:t>
      </w:r>
      <w:r>
        <w:rPr>
          <w:sz w:val="28"/>
          <w:szCs w:val="28"/>
          <w:lang w:val="uk-UA"/>
        </w:rPr>
        <w:t>які складаються перева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но із умовно-патогенних видів, робить можливим швидкий розвиток дестр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ктивно-запа</w:t>
      </w:r>
      <w:r w:rsidR="00207DFC">
        <w:rPr>
          <w:sz w:val="28"/>
          <w:szCs w:val="28"/>
          <w:lang w:val="uk-UA"/>
        </w:rPr>
        <w:t>льних процесів слизової оболонки у хворих із ГЛЛ</w:t>
      </w:r>
      <w:r w:rsidR="006D1FE3" w:rsidRPr="00966737">
        <w:rPr>
          <w:sz w:val="28"/>
          <w:szCs w:val="28"/>
        </w:rPr>
        <w:t>.</w:t>
      </w:r>
    </w:p>
    <w:p w:rsidR="006D1FE3" w:rsidRPr="00400BFE" w:rsidRDefault="00207DFC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Мікрофлора порожнини рота</w:t>
      </w:r>
      <w:r w:rsidR="00571E69">
        <w:rPr>
          <w:sz w:val="28"/>
          <w:szCs w:val="28"/>
          <w:lang w:val="uk-UA"/>
        </w:rPr>
        <w:t xml:space="preserve"> дітей,</w:t>
      </w:r>
      <w:r>
        <w:rPr>
          <w:sz w:val="28"/>
          <w:szCs w:val="28"/>
          <w:lang w:val="uk-UA"/>
        </w:rPr>
        <w:t xml:space="preserve"> хворих </w:t>
      </w:r>
      <w:r w:rsidR="00571E6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гостри</w:t>
      </w:r>
      <w:r w:rsidR="00571E69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лімфобластни</w:t>
      </w:r>
      <w:r w:rsidR="00571E69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лейкоз представлена як грампозитивними </w:t>
      </w:r>
      <w:r w:rsidR="006B419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грамнегативними бактеріями, так і грибами роду </w:t>
      </w:r>
      <w:r w:rsidR="006D1FE3" w:rsidRPr="00966737">
        <w:rPr>
          <w:rStyle w:val="55"/>
          <w:b w:val="0"/>
          <w:i w:val="0"/>
          <w:sz w:val="28"/>
          <w:szCs w:val="28"/>
          <w:lang w:val="ru-RU"/>
        </w:rPr>
        <w:t>Candida,</w:t>
      </w:r>
      <w:r w:rsidR="004039F6">
        <w:rPr>
          <w:rStyle w:val="55"/>
          <w:b w:val="0"/>
          <w:i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тобто умовно-патогенною флорою</w:t>
      </w:r>
      <w:r w:rsidR="006D1FE3" w:rsidRPr="009667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Представники ж патогенної флори висіваються набагато рідше</w:t>
      </w:r>
      <w:r w:rsidR="006D1FE3" w:rsidRPr="00400BFE">
        <w:rPr>
          <w:sz w:val="28"/>
          <w:szCs w:val="28"/>
          <w:lang w:val="uk-UA"/>
        </w:rPr>
        <w:t xml:space="preserve"> [39, 155-159].</w:t>
      </w:r>
    </w:p>
    <w:p w:rsidR="006D1FE3" w:rsidRPr="00400BFE" w:rsidRDefault="00400BFE" w:rsidP="00E27DC6">
      <w:pPr>
        <w:pStyle w:val="51"/>
        <w:shd w:val="clear" w:color="auto" w:fill="auto"/>
        <w:spacing w:before="0" w:line="360" w:lineRule="auto"/>
        <w:ind w:firstLine="54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багатьох дослідженнях у більшості хворих</w:t>
      </w:r>
      <w:r w:rsidR="006B4190">
        <w:rPr>
          <w:b w:val="0"/>
          <w:sz w:val="28"/>
          <w:szCs w:val="28"/>
          <w:lang w:val="uk-UA"/>
        </w:rPr>
        <w:t xml:space="preserve"> на</w:t>
      </w:r>
      <w:r>
        <w:rPr>
          <w:b w:val="0"/>
          <w:sz w:val="28"/>
          <w:szCs w:val="28"/>
          <w:lang w:val="uk-UA"/>
        </w:rPr>
        <w:t xml:space="preserve"> гостри</w:t>
      </w:r>
      <w:r w:rsidR="006B4190">
        <w:rPr>
          <w:b w:val="0"/>
          <w:sz w:val="28"/>
          <w:szCs w:val="28"/>
          <w:lang w:val="uk-UA"/>
        </w:rPr>
        <w:t>й</w:t>
      </w:r>
      <w:r>
        <w:rPr>
          <w:b w:val="0"/>
          <w:sz w:val="28"/>
          <w:szCs w:val="28"/>
          <w:lang w:val="uk-UA"/>
        </w:rPr>
        <w:t xml:space="preserve"> лімфобластни</w:t>
      </w:r>
      <w:r w:rsidR="006B4190">
        <w:rPr>
          <w:b w:val="0"/>
          <w:sz w:val="28"/>
          <w:szCs w:val="28"/>
          <w:lang w:val="uk-UA"/>
        </w:rPr>
        <w:t>й</w:t>
      </w:r>
      <w:r>
        <w:rPr>
          <w:b w:val="0"/>
          <w:sz w:val="28"/>
          <w:szCs w:val="28"/>
          <w:lang w:val="uk-UA"/>
        </w:rPr>
        <w:t xml:space="preserve"> лейкоз висівалися представники грампозитивної флори, зокрема</w:t>
      </w:r>
      <w:r w:rsidR="006B4190">
        <w:rPr>
          <w:b w:val="0"/>
          <w:sz w:val="28"/>
          <w:szCs w:val="28"/>
          <w:lang w:val="uk-UA"/>
        </w:rPr>
        <w:t>,</w:t>
      </w:r>
      <w:r w:rsidR="004039F6">
        <w:rPr>
          <w:b w:val="0"/>
          <w:sz w:val="28"/>
          <w:szCs w:val="28"/>
          <w:lang w:val="uk-UA"/>
        </w:rPr>
        <w:t xml:space="preserve"> </w:t>
      </w:r>
      <w:r w:rsidR="006D1FE3" w:rsidRPr="00966737">
        <w:rPr>
          <w:rStyle w:val="55"/>
          <w:i w:val="0"/>
          <w:sz w:val="28"/>
          <w:szCs w:val="28"/>
          <w:lang w:val="ru-RU"/>
        </w:rPr>
        <w:t>Streptococcus</w:t>
      </w:r>
      <w:r w:rsidR="004039F6">
        <w:rPr>
          <w:rStyle w:val="55"/>
          <w:i w:val="0"/>
          <w:sz w:val="28"/>
          <w:szCs w:val="28"/>
          <w:lang w:val="uk-UA"/>
        </w:rPr>
        <w:t xml:space="preserve"> </w:t>
      </w:r>
      <w:r w:rsidR="006D1FE3" w:rsidRPr="00966737">
        <w:rPr>
          <w:rStyle w:val="55"/>
          <w:i w:val="0"/>
          <w:sz w:val="28"/>
          <w:szCs w:val="28"/>
          <w:lang w:val="ru-RU"/>
        </w:rPr>
        <w:t>anhacmoliticus</w:t>
      </w:r>
      <w:r w:rsidR="006D1FE3" w:rsidRPr="00400BFE">
        <w:rPr>
          <w:rStyle w:val="55"/>
          <w:i w:val="0"/>
          <w:sz w:val="28"/>
          <w:szCs w:val="28"/>
          <w:lang w:val="uk-UA"/>
        </w:rPr>
        <w:t xml:space="preserve">, </w:t>
      </w:r>
      <w:r w:rsidR="006D1FE3" w:rsidRPr="00966737">
        <w:rPr>
          <w:rStyle w:val="55"/>
          <w:i w:val="0"/>
          <w:sz w:val="28"/>
          <w:szCs w:val="28"/>
          <w:lang w:val="ru-RU"/>
        </w:rPr>
        <w:t>Staphylococcus</w:t>
      </w:r>
      <w:r w:rsidR="004039F6">
        <w:rPr>
          <w:rStyle w:val="55"/>
          <w:i w:val="0"/>
          <w:sz w:val="28"/>
          <w:szCs w:val="28"/>
          <w:lang w:val="uk-UA"/>
        </w:rPr>
        <w:t xml:space="preserve"> </w:t>
      </w:r>
      <w:r w:rsidR="006D1FE3" w:rsidRPr="00966737">
        <w:rPr>
          <w:rStyle w:val="55"/>
          <w:i w:val="0"/>
          <w:sz w:val="28"/>
          <w:szCs w:val="28"/>
          <w:lang w:val="ru-RU"/>
        </w:rPr>
        <w:t>epidermidis</w:t>
      </w:r>
      <w:r w:rsidR="006D1FE3" w:rsidRPr="00400BFE">
        <w:rPr>
          <w:rStyle w:val="55"/>
          <w:i w:val="0"/>
          <w:sz w:val="28"/>
          <w:szCs w:val="28"/>
          <w:lang w:val="uk-UA"/>
        </w:rPr>
        <w:t xml:space="preserve">, </w:t>
      </w:r>
      <w:r w:rsidR="006D1FE3" w:rsidRPr="00966737">
        <w:rPr>
          <w:rStyle w:val="55"/>
          <w:i w:val="0"/>
          <w:sz w:val="28"/>
          <w:szCs w:val="28"/>
          <w:lang w:val="ru-RU"/>
        </w:rPr>
        <w:t>Staphylococcus</w:t>
      </w:r>
      <w:r w:rsidR="004039F6">
        <w:rPr>
          <w:rStyle w:val="55"/>
          <w:i w:val="0"/>
          <w:sz w:val="28"/>
          <w:szCs w:val="28"/>
          <w:lang w:val="uk-UA"/>
        </w:rPr>
        <w:t xml:space="preserve"> </w:t>
      </w:r>
      <w:r w:rsidR="006D1FE3" w:rsidRPr="00966737">
        <w:rPr>
          <w:rStyle w:val="55"/>
          <w:i w:val="0"/>
          <w:sz w:val="28"/>
          <w:szCs w:val="28"/>
          <w:lang w:val="ru-RU"/>
        </w:rPr>
        <w:t>aureus</w:t>
      </w:r>
      <w:r w:rsidR="006D1FE3" w:rsidRPr="00400BFE">
        <w:rPr>
          <w:rStyle w:val="55"/>
          <w:i w:val="0"/>
          <w:sz w:val="28"/>
          <w:szCs w:val="28"/>
          <w:lang w:val="uk-UA"/>
        </w:rPr>
        <w:t xml:space="preserve">, </w:t>
      </w:r>
      <w:r w:rsidR="006D1FE3" w:rsidRPr="00966737">
        <w:rPr>
          <w:rStyle w:val="55"/>
          <w:i w:val="0"/>
          <w:sz w:val="28"/>
          <w:szCs w:val="28"/>
          <w:lang w:val="ru-RU"/>
        </w:rPr>
        <w:t>Staphylococcus</w:t>
      </w:r>
      <w:r w:rsidR="004039F6">
        <w:rPr>
          <w:rStyle w:val="55"/>
          <w:i w:val="0"/>
          <w:sz w:val="28"/>
          <w:szCs w:val="28"/>
          <w:lang w:val="uk-UA"/>
        </w:rPr>
        <w:t xml:space="preserve"> </w:t>
      </w:r>
      <w:r w:rsidR="006D1FE3" w:rsidRPr="00966737">
        <w:rPr>
          <w:rStyle w:val="55"/>
          <w:i w:val="0"/>
          <w:sz w:val="28"/>
          <w:szCs w:val="28"/>
          <w:lang w:val="ru-RU"/>
        </w:rPr>
        <w:t>viridans</w:t>
      </w:r>
      <w:r w:rsidR="004039F6">
        <w:rPr>
          <w:rStyle w:val="55"/>
          <w:i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та гриби </w:t>
      </w:r>
      <w:r w:rsidR="006D1FE3" w:rsidRPr="00966737">
        <w:rPr>
          <w:rStyle w:val="55"/>
          <w:i w:val="0"/>
          <w:sz w:val="28"/>
          <w:szCs w:val="28"/>
          <w:lang w:val="ru-RU"/>
        </w:rPr>
        <w:t>Candida</w:t>
      </w:r>
      <w:r w:rsidR="006D1FE3" w:rsidRPr="00400BFE">
        <w:rPr>
          <w:sz w:val="28"/>
          <w:szCs w:val="28"/>
          <w:lang w:val="uk-UA"/>
        </w:rPr>
        <w:t>;</w:t>
      </w:r>
      <w:r w:rsidR="004039F6"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а з представників грамнег</w:t>
      </w:r>
      <w:r>
        <w:rPr>
          <w:b w:val="0"/>
          <w:sz w:val="28"/>
          <w:szCs w:val="28"/>
          <w:lang w:val="uk-UA"/>
        </w:rPr>
        <w:t>а</w:t>
      </w:r>
      <w:r>
        <w:rPr>
          <w:b w:val="0"/>
          <w:sz w:val="28"/>
          <w:szCs w:val="28"/>
          <w:lang w:val="uk-UA"/>
        </w:rPr>
        <w:t>тивної флори</w:t>
      </w:r>
      <w:r w:rsidR="004039F6">
        <w:rPr>
          <w:b w:val="0"/>
          <w:sz w:val="28"/>
          <w:szCs w:val="28"/>
          <w:lang w:val="uk-UA"/>
        </w:rPr>
        <w:t xml:space="preserve"> – </w:t>
      </w:r>
      <w:r w:rsidR="00F835AC">
        <w:rPr>
          <w:rStyle w:val="55"/>
          <w:i w:val="0"/>
          <w:sz w:val="28"/>
          <w:szCs w:val="28"/>
          <w:lang w:val="ru-RU"/>
        </w:rPr>
        <w:t>Enterobacter</w:t>
      </w:r>
      <w:r w:rsidR="00F835AC" w:rsidRPr="00400BFE">
        <w:rPr>
          <w:rStyle w:val="55"/>
          <w:i w:val="0"/>
          <w:sz w:val="28"/>
          <w:szCs w:val="28"/>
          <w:lang w:val="uk-UA"/>
        </w:rPr>
        <w:t xml:space="preserve">, </w:t>
      </w:r>
      <w:r w:rsidR="00F835AC">
        <w:rPr>
          <w:rStyle w:val="55"/>
          <w:i w:val="0"/>
          <w:sz w:val="28"/>
          <w:szCs w:val="28"/>
          <w:lang w:val="ru-RU"/>
        </w:rPr>
        <w:t>Neiseria</w:t>
      </w:r>
      <w:r w:rsidR="00F835AC" w:rsidRPr="00400BFE">
        <w:rPr>
          <w:rStyle w:val="55"/>
          <w:i w:val="0"/>
          <w:sz w:val="28"/>
          <w:szCs w:val="28"/>
          <w:lang w:val="uk-UA"/>
        </w:rPr>
        <w:t xml:space="preserve">, </w:t>
      </w:r>
      <w:r w:rsidR="006D1FE3" w:rsidRPr="00966737">
        <w:rPr>
          <w:rStyle w:val="55"/>
          <w:i w:val="0"/>
          <w:sz w:val="28"/>
          <w:szCs w:val="28"/>
          <w:lang w:val="ru-RU"/>
        </w:rPr>
        <w:t>Citrobacter</w:t>
      </w:r>
      <w:r w:rsidR="006D1FE3" w:rsidRPr="00400BFE">
        <w:rPr>
          <w:rStyle w:val="55"/>
          <w:i w:val="0"/>
          <w:sz w:val="28"/>
          <w:szCs w:val="28"/>
          <w:lang w:val="uk-UA"/>
        </w:rPr>
        <w:t xml:space="preserve">, </w:t>
      </w:r>
      <w:r w:rsidR="006D1FE3" w:rsidRPr="00966737">
        <w:rPr>
          <w:rStyle w:val="55"/>
          <w:i w:val="0"/>
          <w:sz w:val="28"/>
          <w:szCs w:val="28"/>
          <w:lang w:val="ru-RU"/>
        </w:rPr>
        <w:t>Klebsiella</w:t>
      </w:r>
      <w:r w:rsidR="006D1FE3" w:rsidRPr="00400BFE">
        <w:rPr>
          <w:b w:val="0"/>
          <w:sz w:val="28"/>
          <w:szCs w:val="28"/>
          <w:lang w:val="uk-UA"/>
        </w:rPr>
        <w:t xml:space="preserve"> [160-162].</w:t>
      </w:r>
    </w:p>
    <w:p w:rsidR="006D1FE3" w:rsidRPr="00966737" w:rsidRDefault="006B4190" w:rsidP="006B4190">
      <w:pPr>
        <w:pStyle w:val="a9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400BFE">
        <w:rPr>
          <w:sz w:val="28"/>
          <w:szCs w:val="28"/>
          <w:lang w:val="uk-UA"/>
        </w:rPr>
        <w:t>Мікрофлора ротової рідини хворих ГЛЛ зазнає критичних змін із розви</w:t>
      </w:r>
      <w:r w:rsidR="00400BFE">
        <w:rPr>
          <w:sz w:val="28"/>
          <w:szCs w:val="28"/>
          <w:lang w:val="uk-UA"/>
        </w:rPr>
        <w:t>т</w:t>
      </w:r>
      <w:r w:rsidR="00400BFE">
        <w:rPr>
          <w:sz w:val="28"/>
          <w:szCs w:val="28"/>
          <w:lang w:val="uk-UA"/>
        </w:rPr>
        <w:t>ком декомпенсованого дисбактеріозу, що призводить до порушення функц</w:t>
      </w:r>
      <w:r w:rsidR="00400BFE">
        <w:rPr>
          <w:sz w:val="28"/>
          <w:szCs w:val="28"/>
          <w:lang w:val="uk-UA"/>
        </w:rPr>
        <w:t>і</w:t>
      </w:r>
      <w:r w:rsidR="00400BFE">
        <w:rPr>
          <w:sz w:val="28"/>
          <w:szCs w:val="28"/>
          <w:lang w:val="uk-UA"/>
        </w:rPr>
        <w:lastRenderedPageBreak/>
        <w:t>онування ротової порожнини як органа. Перш за все, це відбувається за рах</w:t>
      </w:r>
      <w:r w:rsidR="00400BFE">
        <w:rPr>
          <w:sz w:val="28"/>
          <w:szCs w:val="28"/>
          <w:lang w:val="uk-UA"/>
        </w:rPr>
        <w:t>у</w:t>
      </w:r>
      <w:r w:rsidR="00400BFE">
        <w:rPr>
          <w:sz w:val="28"/>
          <w:szCs w:val="28"/>
          <w:lang w:val="uk-UA"/>
        </w:rPr>
        <w:t>нок зменшення, а у ряд</w:t>
      </w:r>
      <w:r>
        <w:rPr>
          <w:sz w:val="28"/>
          <w:szCs w:val="28"/>
          <w:lang w:val="uk-UA"/>
        </w:rPr>
        <w:t>у</w:t>
      </w:r>
      <w:r w:rsidR="00400BFE">
        <w:rPr>
          <w:sz w:val="28"/>
          <w:szCs w:val="28"/>
          <w:lang w:val="uk-UA"/>
        </w:rPr>
        <w:t xml:space="preserve"> хворих</w:t>
      </w:r>
      <w:r w:rsidR="004039F6">
        <w:rPr>
          <w:sz w:val="28"/>
          <w:szCs w:val="28"/>
          <w:lang w:val="uk-UA"/>
        </w:rPr>
        <w:t xml:space="preserve"> – </w:t>
      </w:r>
      <w:r w:rsidR="00410DEB">
        <w:rPr>
          <w:sz w:val="28"/>
          <w:szCs w:val="28"/>
          <w:lang w:val="uk-UA"/>
        </w:rPr>
        <w:t>повного зникнення нормальних си</w:t>
      </w:r>
      <w:r>
        <w:rPr>
          <w:sz w:val="28"/>
          <w:szCs w:val="28"/>
          <w:lang w:val="uk-UA"/>
        </w:rPr>
        <w:t>мбіонтів –</w:t>
      </w:r>
      <w:r w:rsidR="00400BFE">
        <w:rPr>
          <w:sz w:val="28"/>
          <w:szCs w:val="28"/>
          <w:lang w:val="uk-UA"/>
        </w:rPr>
        <w:t xml:space="preserve"> слинних стрептококів, лактобактерій та епідермальних стафілококів</w:t>
      </w:r>
      <w:r w:rsidR="006D1FE3" w:rsidRPr="00966737">
        <w:rPr>
          <w:sz w:val="28"/>
          <w:szCs w:val="28"/>
        </w:rPr>
        <w:t xml:space="preserve"> [51, 163-164].</w:t>
      </w:r>
    </w:p>
    <w:p w:rsidR="006D1FE3" w:rsidRPr="00392D7B" w:rsidRDefault="006B4190" w:rsidP="006B4190">
      <w:pPr>
        <w:pStyle w:val="a9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71E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Відомості, що </w:t>
      </w:r>
      <w:r w:rsidR="002C4C3B">
        <w:rPr>
          <w:sz w:val="28"/>
          <w:szCs w:val="28"/>
          <w:lang w:val="uk-UA"/>
        </w:rPr>
        <w:t>викладені вище, вказують на надзвичайну важливість кіл</w:t>
      </w:r>
      <w:r w:rsidR="002C4C3B">
        <w:rPr>
          <w:sz w:val="28"/>
          <w:szCs w:val="28"/>
          <w:lang w:val="uk-UA"/>
        </w:rPr>
        <w:t>ь</w:t>
      </w:r>
      <w:r w:rsidR="002C4C3B">
        <w:rPr>
          <w:sz w:val="28"/>
          <w:szCs w:val="28"/>
          <w:lang w:val="uk-UA"/>
        </w:rPr>
        <w:t>кісних та якісних змін мікробної флори у хворих із гострим лімфобластним лейкозом, вивчення складу якої має велике клінічне значення</w:t>
      </w:r>
      <w:r w:rsidR="006D1FE3" w:rsidRPr="00392D7B">
        <w:rPr>
          <w:sz w:val="28"/>
          <w:szCs w:val="28"/>
          <w:lang w:val="uk-UA"/>
        </w:rPr>
        <w:t>.</w:t>
      </w:r>
    </w:p>
    <w:p w:rsidR="006D1FE3" w:rsidRPr="00392D7B" w:rsidRDefault="002C4C3B" w:rsidP="00E27DC6">
      <w:pPr>
        <w:pStyle w:val="a9"/>
        <w:shd w:val="clear" w:color="auto" w:fill="auto"/>
        <w:spacing w:before="0" w:after="0" w:line="360" w:lineRule="auto"/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проведення мікробіологічних досліджень </w:t>
      </w:r>
      <w:r w:rsidR="006B419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імунокомпр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метованих хворих є необхідним, оскільки це дозволяє оцінити особливості збудників у конкретних умовах, скор</w:t>
      </w:r>
      <w:r w:rsidR="006B4190">
        <w:rPr>
          <w:sz w:val="28"/>
          <w:szCs w:val="28"/>
          <w:lang w:val="uk-UA"/>
        </w:rPr>
        <w:t>иг</w:t>
      </w:r>
      <w:r>
        <w:rPr>
          <w:sz w:val="28"/>
          <w:szCs w:val="28"/>
          <w:lang w:val="uk-UA"/>
        </w:rPr>
        <w:t xml:space="preserve">увати тактику лікаря </w:t>
      </w:r>
      <w:r w:rsidR="001E7FD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питаннях 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філактики та лікування патології СОПР, тим самим знизити можливість і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фекційних ускладнень</w:t>
      </w:r>
      <w:r w:rsidR="006D1FE3" w:rsidRPr="00392D7B">
        <w:rPr>
          <w:sz w:val="28"/>
          <w:szCs w:val="28"/>
          <w:lang w:val="uk-UA"/>
        </w:rPr>
        <w:t>.</w:t>
      </w:r>
    </w:p>
    <w:p w:rsidR="006D1FE3" w:rsidRPr="00392D7B" w:rsidRDefault="006D1FE3" w:rsidP="00E27DC6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E3" w:rsidRPr="00966737" w:rsidRDefault="006D1FE3" w:rsidP="003D13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3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2C4C3B">
        <w:rPr>
          <w:rFonts w:ascii="Times New Roman" w:hAnsi="Times New Roman" w:cs="Times New Roman"/>
          <w:b/>
          <w:sz w:val="28"/>
          <w:szCs w:val="28"/>
          <w:lang w:val="uk-UA"/>
        </w:rPr>
        <w:t>Морфофункціонал</w:t>
      </w:r>
      <w:r w:rsidR="004B0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ьна харктеристика СОПР у дітей </w:t>
      </w:r>
      <w:r w:rsidR="0013556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C4C3B">
        <w:rPr>
          <w:rFonts w:ascii="Times New Roman" w:hAnsi="Times New Roman" w:cs="Times New Roman"/>
          <w:b/>
          <w:sz w:val="28"/>
          <w:szCs w:val="28"/>
          <w:lang w:val="uk-UA"/>
        </w:rPr>
        <w:t>з гострим лімфобластним лейкозом при введенні цитостатиків</w:t>
      </w:r>
      <w:r w:rsidRPr="00966737">
        <w:rPr>
          <w:rFonts w:ascii="Times New Roman" w:hAnsi="Times New Roman" w:cs="Times New Roman"/>
          <w:b/>
          <w:sz w:val="28"/>
          <w:szCs w:val="28"/>
        </w:rPr>
        <w:t>.</w:t>
      </w:r>
    </w:p>
    <w:p w:rsidR="006D1FE3" w:rsidRPr="00966737" w:rsidRDefault="00E56C58" w:rsidP="00E27DC6">
      <w:pPr>
        <w:pStyle w:val="a9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Цитостатична хіміотерапія отримала широке розповсюдження при л</w:t>
      </w:r>
      <w:r>
        <w:rPr>
          <w:sz w:val="28"/>
          <w:szCs w:val="28"/>
          <w:lang w:val="uk-UA"/>
        </w:rPr>
        <w:t>і</w:t>
      </w:r>
      <w:r w:rsidR="001E7FD3">
        <w:rPr>
          <w:sz w:val="28"/>
          <w:szCs w:val="28"/>
          <w:lang w:val="uk-UA"/>
        </w:rPr>
        <w:t>куванні</w:t>
      </w:r>
      <w:r>
        <w:rPr>
          <w:sz w:val="28"/>
          <w:szCs w:val="28"/>
          <w:lang w:val="uk-UA"/>
        </w:rPr>
        <w:t xml:space="preserve"> онкологічних, аутоімунних та гематологічних захворювань, транс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лантації органів, при підготовці до пересадки алогенного кісткового моз</w:t>
      </w:r>
      <w:r w:rsidR="00571E6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6D1FE3" w:rsidRPr="009667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Використання помірних та, особливо, висок</w:t>
      </w:r>
      <w:r w:rsidR="004B0027">
        <w:rPr>
          <w:sz w:val="28"/>
          <w:szCs w:val="28"/>
          <w:lang w:val="uk-UA"/>
        </w:rPr>
        <w:t>их доз цитостатичних препаратів</w:t>
      </w:r>
      <w:r>
        <w:rPr>
          <w:sz w:val="28"/>
          <w:szCs w:val="28"/>
          <w:lang w:val="uk-UA"/>
        </w:rPr>
        <w:t xml:space="preserve"> часто супроводжуєть</w:t>
      </w:r>
      <w:r w:rsidR="004B0027">
        <w:rPr>
          <w:sz w:val="28"/>
          <w:szCs w:val="28"/>
          <w:lang w:val="uk-UA"/>
        </w:rPr>
        <w:t>ся розвитком особливого запа</w:t>
      </w:r>
      <w:r>
        <w:rPr>
          <w:sz w:val="28"/>
          <w:szCs w:val="28"/>
          <w:lang w:val="uk-UA"/>
        </w:rPr>
        <w:t xml:space="preserve">льного процесу </w:t>
      </w:r>
      <w:r w:rsidR="004B00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</w:rPr>
        <w:t xml:space="preserve">СОПР, </w:t>
      </w:r>
      <w:r>
        <w:rPr>
          <w:sz w:val="28"/>
          <w:szCs w:val="28"/>
          <w:lang w:val="uk-UA"/>
        </w:rPr>
        <w:t xml:space="preserve">який раніше традиційно називався виразковим стоматитом, а у кінці </w:t>
      </w:r>
      <w:r w:rsidR="006D1FE3" w:rsidRPr="00966737">
        <w:rPr>
          <w:sz w:val="28"/>
          <w:szCs w:val="28"/>
        </w:rPr>
        <w:t xml:space="preserve">1980 </w:t>
      </w:r>
      <w:r>
        <w:rPr>
          <w:sz w:val="28"/>
          <w:szCs w:val="28"/>
          <w:lang w:val="uk-UA"/>
        </w:rPr>
        <w:t xml:space="preserve">рр. отримав також нове найменування </w:t>
      </w:r>
      <w:r w:rsidR="006D1FE3" w:rsidRPr="00966737">
        <w:rPr>
          <w:sz w:val="28"/>
          <w:szCs w:val="28"/>
        </w:rPr>
        <w:t>«</w:t>
      </w:r>
      <w:r w:rsidR="001E7FD3">
        <w:rPr>
          <w:sz w:val="28"/>
          <w:szCs w:val="28"/>
          <w:lang w:val="uk-UA"/>
        </w:rPr>
        <w:t>мукози</w:t>
      </w:r>
      <w:r>
        <w:rPr>
          <w:sz w:val="28"/>
          <w:szCs w:val="28"/>
          <w:lang w:val="uk-UA"/>
        </w:rPr>
        <w:t>ту порожнини рота</w:t>
      </w:r>
      <w:r w:rsidR="006D1FE3" w:rsidRPr="00966737">
        <w:rPr>
          <w:sz w:val="28"/>
          <w:szCs w:val="28"/>
        </w:rPr>
        <w:t xml:space="preserve">» [165-168]. </w:t>
      </w:r>
      <w:r>
        <w:rPr>
          <w:sz w:val="28"/>
          <w:szCs w:val="28"/>
          <w:lang w:val="uk-UA"/>
        </w:rPr>
        <w:t>Мукоз</w:t>
      </w:r>
      <w:r w:rsidR="001E7FD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т клінічно проявляється виникненням еритеми, набряку, запалення, атрофії та виразок </w:t>
      </w:r>
      <w:r w:rsidR="006D1FE3" w:rsidRPr="00966737">
        <w:rPr>
          <w:sz w:val="28"/>
          <w:szCs w:val="28"/>
        </w:rPr>
        <w:t xml:space="preserve">СОПР, </w:t>
      </w:r>
      <w:r w:rsidR="009C7E65">
        <w:rPr>
          <w:sz w:val="28"/>
          <w:szCs w:val="28"/>
          <w:lang w:val="uk-UA"/>
        </w:rPr>
        <w:t xml:space="preserve">що поєднується </w:t>
      </w:r>
      <w:r>
        <w:rPr>
          <w:sz w:val="28"/>
          <w:szCs w:val="28"/>
          <w:lang w:val="uk-UA"/>
        </w:rPr>
        <w:t xml:space="preserve">з її вираженою </w:t>
      </w:r>
      <w:r w:rsidR="004B0027">
        <w:rPr>
          <w:sz w:val="28"/>
          <w:szCs w:val="28"/>
          <w:lang w:val="uk-UA"/>
        </w:rPr>
        <w:t>болюч</w:t>
      </w:r>
      <w:r>
        <w:rPr>
          <w:sz w:val="28"/>
          <w:szCs w:val="28"/>
          <w:lang w:val="uk-UA"/>
        </w:rPr>
        <w:t>і</w:t>
      </w:r>
      <w:r w:rsidR="004D2FA2">
        <w:rPr>
          <w:sz w:val="28"/>
          <w:szCs w:val="28"/>
          <w:lang w:val="uk-UA"/>
        </w:rPr>
        <w:t>стю, кров</w:t>
      </w:r>
      <w:r w:rsidR="004D2FA2">
        <w:rPr>
          <w:sz w:val="28"/>
          <w:szCs w:val="28"/>
          <w:lang w:val="uk-UA"/>
        </w:rPr>
        <w:t>о</w:t>
      </w:r>
      <w:r w:rsidR="004D2FA2">
        <w:rPr>
          <w:sz w:val="28"/>
          <w:szCs w:val="28"/>
          <w:lang w:val="uk-UA"/>
        </w:rPr>
        <w:t xml:space="preserve">точивістю, сухістю </w:t>
      </w:r>
      <w:r w:rsidR="00571E6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роті, втратою смакових відчуттів та порушенням харч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</w:t>
      </w:r>
      <w:r w:rsidR="006D1FE3" w:rsidRPr="00966737">
        <w:rPr>
          <w:sz w:val="28"/>
          <w:szCs w:val="28"/>
        </w:rPr>
        <w:t xml:space="preserve"> [169-171].</w:t>
      </w:r>
    </w:p>
    <w:p w:rsidR="006D1FE3" w:rsidRPr="00E56C58" w:rsidRDefault="00E56C58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 виражений стоматотоксичний вплив на </w:t>
      </w:r>
      <w:r w:rsidR="006D1FE3" w:rsidRPr="00966737">
        <w:rPr>
          <w:sz w:val="28"/>
          <w:szCs w:val="28"/>
        </w:rPr>
        <w:t xml:space="preserve">СОПР </w:t>
      </w:r>
      <w:r w:rsidR="004D2FA2">
        <w:rPr>
          <w:sz w:val="28"/>
          <w:szCs w:val="28"/>
          <w:lang w:val="uk-UA"/>
        </w:rPr>
        <w:t>здійснюють алкілу</w:t>
      </w:r>
      <w:r>
        <w:rPr>
          <w:sz w:val="28"/>
          <w:szCs w:val="28"/>
          <w:lang w:val="uk-UA"/>
        </w:rPr>
        <w:t>ючі агенти, алкалоїди, антиметаболіти та протипухлинні антибіотики</w:t>
      </w:r>
      <w:r w:rsidR="006D1FE3" w:rsidRPr="009667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Кінцевим результатом дії цих препаратів є пригнічення клітинної проліфер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ції, головним чином, у результаті пошкодження структури та функції ДНК з </w:t>
      </w:r>
      <w:r>
        <w:rPr>
          <w:sz w:val="28"/>
          <w:szCs w:val="28"/>
          <w:lang w:val="uk-UA"/>
        </w:rPr>
        <w:lastRenderedPageBreak/>
        <w:t>розвитком апоптозу</w:t>
      </w:r>
      <w:r w:rsidR="006D1FE3" w:rsidRPr="00E56C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Іншими мішенями цитостатиків є ферменти, необхідні для нормальної реплікації та репарації </w:t>
      </w:r>
      <w:r w:rsidR="006D1FE3" w:rsidRPr="00E56C58">
        <w:rPr>
          <w:sz w:val="28"/>
          <w:szCs w:val="28"/>
          <w:lang w:val="uk-UA"/>
        </w:rPr>
        <w:t xml:space="preserve">ДНК, </w:t>
      </w:r>
      <w:r>
        <w:rPr>
          <w:sz w:val="28"/>
          <w:szCs w:val="28"/>
          <w:lang w:val="uk-UA"/>
        </w:rPr>
        <w:t>мітотичний апарат клітини</w:t>
      </w:r>
      <w:r w:rsidR="006D1FE3" w:rsidRPr="00E56C58">
        <w:rPr>
          <w:sz w:val="28"/>
          <w:szCs w:val="28"/>
          <w:lang w:val="uk-UA"/>
        </w:rPr>
        <w:t xml:space="preserve"> [172].</w:t>
      </w:r>
    </w:p>
    <w:p w:rsidR="006D1FE3" w:rsidRPr="00966737" w:rsidRDefault="004B0027" w:rsidP="004B0027">
      <w:pPr>
        <w:pStyle w:val="a9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E56C58">
        <w:rPr>
          <w:sz w:val="28"/>
          <w:szCs w:val="28"/>
          <w:lang w:val="uk-UA"/>
        </w:rPr>
        <w:t>Цитостатики характеризуються високою біологічною активністю та ві</w:t>
      </w:r>
      <w:r w:rsidR="00E56C58">
        <w:rPr>
          <w:sz w:val="28"/>
          <w:szCs w:val="28"/>
          <w:lang w:val="uk-UA"/>
        </w:rPr>
        <w:t>д</w:t>
      </w:r>
      <w:r w:rsidR="00E56C58">
        <w:rPr>
          <w:sz w:val="28"/>
          <w:szCs w:val="28"/>
          <w:lang w:val="uk-UA"/>
        </w:rPr>
        <w:t xml:space="preserve">сутністю </w:t>
      </w:r>
      <w:r w:rsidR="00E56C58" w:rsidRPr="0077280B">
        <w:rPr>
          <w:sz w:val="28"/>
          <w:szCs w:val="28"/>
          <w:lang w:val="uk-UA"/>
        </w:rPr>
        <w:t>виб</w:t>
      </w:r>
      <w:r w:rsidR="0077280B" w:rsidRPr="0077280B">
        <w:rPr>
          <w:sz w:val="28"/>
          <w:szCs w:val="28"/>
          <w:lang w:val="uk-UA"/>
        </w:rPr>
        <w:t>іркового</w:t>
      </w:r>
      <w:r w:rsidR="00E56C58" w:rsidRPr="0077280B">
        <w:rPr>
          <w:sz w:val="28"/>
          <w:szCs w:val="28"/>
          <w:lang w:val="uk-UA"/>
        </w:rPr>
        <w:t xml:space="preserve"> ефекту</w:t>
      </w:r>
      <w:r w:rsidR="00E56C58">
        <w:rPr>
          <w:sz w:val="28"/>
          <w:szCs w:val="28"/>
          <w:lang w:val="uk-UA"/>
        </w:rPr>
        <w:t>, у результаті чого вони викликають пошк</w:t>
      </w:r>
      <w:r w:rsidR="00E56C58">
        <w:rPr>
          <w:sz w:val="28"/>
          <w:szCs w:val="28"/>
          <w:lang w:val="uk-UA"/>
        </w:rPr>
        <w:t>о</w:t>
      </w:r>
      <w:r w:rsidR="00E56C58">
        <w:rPr>
          <w:sz w:val="28"/>
          <w:szCs w:val="28"/>
          <w:lang w:val="uk-UA"/>
        </w:rPr>
        <w:t xml:space="preserve">дження різних органів та тканин (побічна дія препаратів) </w:t>
      </w:r>
      <w:r w:rsidR="006D1FE3" w:rsidRPr="00E56C58">
        <w:rPr>
          <w:sz w:val="28"/>
          <w:szCs w:val="28"/>
          <w:lang w:val="uk-UA"/>
        </w:rPr>
        <w:t xml:space="preserve">— </w:t>
      </w:r>
      <w:r w:rsidR="00E56C58">
        <w:rPr>
          <w:sz w:val="28"/>
          <w:szCs w:val="28"/>
          <w:lang w:val="uk-UA"/>
        </w:rPr>
        <w:t>у першу чергу тих, що містять великі популяції клітин, що швидко відновлюються (кістк</w:t>
      </w:r>
      <w:r w:rsidR="00E56C58">
        <w:rPr>
          <w:sz w:val="28"/>
          <w:szCs w:val="28"/>
          <w:lang w:val="uk-UA"/>
        </w:rPr>
        <w:t>о</w:t>
      </w:r>
      <w:r w:rsidR="00E56C58">
        <w:rPr>
          <w:sz w:val="28"/>
          <w:szCs w:val="28"/>
          <w:lang w:val="uk-UA"/>
        </w:rPr>
        <w:t>вий мозок, слизова оболонка травного тракту, волосяні фолікули</w:t>
      </w:r>
      <w:r w:rsidR="006D1FE3" w:rsidRPr="00E56C58">
        <w:rPr>
          <w:sz w:val="28"/>
          <w:szCs w:val="28"/>
          <w:lang w:val="uk-UA"/>
        </w:rPr>
        <w:t xml:space="preserve">). </w:t>
      </w:r>
      <w:r w:rsidR="00E56C58">
        <w:rPr>
          <w:sz w:val="28"/>
          <w:szCs w:val="28"/>
          <w:lang w:val="uk-UA"/>
        </w:rPr>
        <w:t>Майже всі цитостатики є потужними імунодепресантами, багато з них мають мутагенні, тератогенні та канцерогенні властивості</w:t>
      </w:r>
      <w:r w:rsidR="006D1FE3" w:rsidRPr="00966737">
        <w:rPr>
          <w:sz w:val="28"/>
          <w:szCs w:val="28"/>
        </w:rPr>
        <w:t xml:space="preserve"> [172].</w:t>
      </w:r>
    </w:p>
    <w:p w:rsidR="006D1FE3" w:rsidRPr="00D83E87" w:rsidRDefault="00E56C58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Частота та вираженість уражень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 xml:space="preserve">залежить від типу цитостатика, дози, схеми та режиму його введення, </w:t>
      </w:r>
      <w:r w:rsidR="00D83E87">
        <w:rPr>
          <w:sz w:val="28"/>
          <w:szCs w:val="28"/>
          <w:lang w:val="uk-UA"/>
        </w:rPr>
        <w:t>попередньої терапії, загального стану організм</w:t>
      </w:r>
      <w:r w:rsidR="004B0027">
        <w:rPr>
          <w:sz w:val="28"/>
          <w:szCs w:val="28"/>
          <w:lang w:val="uk-UA"/>
        </w:rPr>
        <w:t>у</w:t>
      </w:r>
      <w:r w:rsidR="006D1FE3" w:rsidRPr="00966737">
        <w:rPr>
          <w:sz w:val="28"/>
          <w:szCs w:val="28"/>
        </w:rPr>
        <w:t>.</w:t>
      </w:r>
      <w:r w:rsidR="004B0027">
        <w:rPr>
          <w:sz w:val="28"/>
          <w:szCs w:val="28"/>
          <w:lang w:val="uk-UA"/>
        </w:rPr>
        <w:t xml:space="preserve"> Так, </w:t>
      </w:r>
      <w:r w:rsidR="00D83E87">
        <w:rPr>
          <w:sz w:val="28"/>
          <w:szCs w:val="28"/>
          <w:lang w:val="uk-UA"/>
        </w:rPr>
        <w:t xml:space="preserve">частота клінічно вираженого </w:t>
      </w:r>
      <w:r w:rsidR="001E7FD3">
        <w:rPr>
          <w:sz w:val="28"/>
          <w:szCs w:val="28"/>
          <w:lang w:val="uk-UA"/>
        </w:rPr>
        <w:t>мукозит</w:t>
      </w:r>
      <w:r w:rsidR="00D83E87">
        <w:rPr>
          <w:sz w:val="28"/>
          <w:szCs w:val="28"/>
          <w:lang w:val="uk-UA"/>
        </w:rPr>
        <w:t>у порожнини рота</w:t>
      </w:r>
      <w:r w:rsidR="00D83E87">
        <w:rPr>
          <w:sz w:val="28"/>
          <w:szCs w:val="28"/>
          <w:lang w:val="uk-UA"/>
        </w:rPr>
        <w:br/>
        <w:t xml:space="preserve">варіює, за різними оцінками, від </w:t>
      </w:r>
      <w:r w:rsidR="006D1FE3" w:rsidRPr="00D83E87">
        <w:rPr>
          <w:sz w:val="28"/>
          <w:szCs w:val="28"/>
          <w:lang w:val="uk-UA"/>
        </w:rPr>
        <w:t>10</w:t>
      </w:r>
      <w:r w:rsidR="004B0027">
        <w:rPr>
          <w:sz w:val="28"/>
          <w:szCs w:val="28"/>
          <w:lang w:val="uk-UA"/>
        </w:rPr>
        <w:t xml:space="preserve">-15% </w:t>
      </w:r>
      <w:r w:rsidR="00571E69">
        <w:rPr>
          <w:sz w:val="28"/>
          <w:szCs w:val="28"/>
          <w:lang w:val="uk-UA"/>
        </w:rPr>
        <w:t>–</w:t>
      </w:r>
      <w:r w:rsidR="004B0027">
        <w:rPr>
          <w:sz w:val="28"/>
          <w:szCs w:val="28"/>
          <w:lang w:val="uk-UA"/>
        </w:rPr>
        <w:t xml:space="preserve"> </w:t>
      </w:r>
      <w:r w:rsidR="00D83E87">
        <w:rPr>
          <w:sz w:val="28"/>
          <w:szCs w:val="28"/>
          <w:lang w:val="uk-UA"/>
        </w:rPr>
        <w:t>при ад</w:t>
      </w:r>
      <w:r w:rsidR="00D83E87" w:rsidRPr="00D83E87">
        <w:rPr>
          <w:sz w:val="28"/>
          <w:szCs w:val="28"/>
          <w:lang w:val="uk-UA"/>
        </w:rPr>
        <w:t>'</w:t>
      </w:r>
      <w:r w:rsidR="00D83E87">
        <w:rPr>
          <w:sz w:val="28"/>
          <w:szCs w:val="28"/>
          <w:lang w:val="uk-UA"/>
        </w:rPr>
        <w:t>ювантній хіміотерапії</w:t>
      </w:r>
      <w:r w:rsidR="006D1FE3" w:rsidRPr="00D83E87">
        <w:rPr>
          <w:sz w:val="28"/>
          <w:szCs w:val="28"/>
          <w:lang w:val="uk-UA"/>
        </w:rPr>
        <w:t>, до 40</w:t>
      </w:r>
      <w:r w:rsidR="00010E44" w:rsidRPr="00D83E87">
        <w:rPr>
          <w:sz w:val="28"/>
          <w:szCs w:val="28"/>
          <w:lang w:val="uk-UA"/>
        </w:rPr>
        <w:t xml:space="preserve"> - 60</w:t>
      </w:r>
      <w:r w:rsidR="006D1FE3" w:rsidRPr="00D83E87">
        <w:rPr>
          <w:sz w:val="28"/>
          <w:szCs w:val="28"/>
          <w:lang w:val="uk-UA"/>
        </w:rPr>
        <w:t>%</w:t>
      </w:r>
      <w:r w:rsidR="004B0027">
        <w:rPr>
          <w:sz w:val="28"/>
          <w:szCs w:val="28"/>
          <w:lang w:val="uk-UA"/>
        </w:rPr>
        <w:t xml:space="preserve"> </w:t>
      </w:r>
      <w:r w:rsidR="00571E69">
        <w:rPr>
          <w:sz w:val="28"/>
          <w:szCs w:val="28"/>
          <w:lang w:val="uk-UA"/>
        </w:rPr>
        <w:t>–</w:t>
      </w:r>
      <w:r w:rsidR="006D1FE3" w:rsidRPr="00D83E87">
        <w:rPr>
          <w:sz w:val="28"/>
          <w:szCs w:val="28"/>
          <w:lang w:val="uk-UA"/>
        </w:rPr>
        <w:t xml:space="preserve"> </w:t>
      </w:r>
      <w:r w:rsidR="00D83E87">
        <w:rPr>
          <w:sz w:val="28"/>
          <w:szCs w:val="28"/>
          <w:lang w:val="uk-UA"/>
        </w:rPr>
        <w:t xml:space="preserve">при первинній хіміотерапії та </w:t>
      </w:r>
      <w:r w:rsidR="006D1FE3" w:rsidRPr="00D83E87">
        <w:rPr>
          <w:sz w:val="28"/>
          <w:szCs w:val="28"/>
          <w:lang w:val="uk-UA"/>
        </w:rPr>
        <w:t>80-100%</w:t>
      </w:r>
      <w:r w:rsidR="004B0027">
        <w:rPr>
          <w:sz w:val="28"/>
          <w:szCs w:val="28"/>
          <w:lang w:val="uk-UA"/>
        </w:rPr>
        <w:t xml:space="preserve"> </w:t>
      </w:r>
      <w:r w:rsidR="00571E69">
        <w:rPr>
          <w:sz w:val="28"/>
          <w:szCs w:val="28"/>
          <w:lang w:val="uk-UA"/>
        </w:rPr>
        <w:t>–</w:t>
      </w:r>
      <w:r w:rsidR="006D1FE3" w:rsidRPr="00D83E87">
        <w:rPr>
          <w:sz w:val="28"/>
          <w:szCs w:val="28"/>
          <w:lang w:val="uk-UA"/>
        </w:rPr>
        <w:t xml:space="preserve"> </w:t>
      </w:r>
      <w:r w:rsidR="00D83E87">
        <w:rPr>
          <w:sz w:val="28"/>
          <w:szCs w:val="28"/>
          <w:lang w:val="uk-UA"/>
        </w:rPr>
        <w:t>при підготовці до транспл</w:t>
      </w:r>
      <w:r w:rsidR="00D83E87">
        <w:rPr>
          <w:sz w:val="28"/>
          <w:szCs w:val="28"/>
          <w:lang w:val="uk-UA"/>
        </w:rPr>
        <w:t>а</w:t>
      </w:r>
      <w:r w:rsidR="00D83E87">
        <w:rPr>
          <w:sz w:val="28"/>
          <w:szCs w:val="28"/>
          <w:lang w:val="uk-UA"/>
        </w:rPr>
        <w:t>нтації кісткового мозку та стандартній поліхіміотерапії</w:t>
      </w:r>
      <w:r w:rsidR="006D1FE3" w:rsidRPr="00D83E87">
        <w:rPr>
          <w:sz w:val="28"/>
          <w:szCs w:val="28"/>
          <w:lang w:val="uk-UA"/>
        </w:rPr>
        <w:t xml:space="preserve"> [173-175]. </w:t>
      </w:r>
      <w:r w:rsidR="00D83E87">
        <w:rPr>
          <w:sz w:val="28"/>
          <w:szCs w:val="28"/>
          <w:lang w:val="uk-UA"/>
        </w:rPr>
        <w:t>Важкі на</w:t>
      </w:r>
      <w:r w:rsidR="00D83E87">
        <w:rPr>
          <w:sz w:val="28"/>
          <w:szCs w:val="28"/>
          <w:lang w:val="uk-UA"/>
        </w:rPr>
        <w:t>с</w:t>
      </w:r>
      <w:r w:rsidR="00D83E87">
        <w:rPr>
          <w:sz w:val="28"/>
          <w:szCs w:val="28"/>
          <w:lang w:val="uk-UA"/>
        </w:rPr>
        <w:t xml:space="preserve">лідки цитотоксичної дії препаратів на </w:t>
      </w:r>
      <w:r w:rsidR="006D1FE3" w:rsidRPr="00D83E87">
        <w:rPr>
          <w:sz w:val="28"/>
          <w:szCs w:val="28"/>
          <w:lang w:val="uk-UA"/>
        </w:rPr>
        <w:t xml:space="preserve">СОПР </w:t>
      </w:r>
      <w:r w:rsidR="00D83E87">
        <w:rPr>
          <w:sz w:val="28"/>
          <w:szCs w:val="28"/>
          <w:lang w:val="uk-UA"/>
        </w:rPr>
        <w:t>можуть змусити клініцистів знизити їхню дозу та порушити режим терапії</w:t>
      </w:r>
      <w:r w:rsidR="006D1FE3" w:rsidRPr="00D83E87">
        <w:rPr>
          <w:sz w:val="28"/>
          <w:szCs w:val="28"/>
          <w:lang w:val="uk-UA"/>
        </w:rPr>
        <w:t>.</w:t>
      </w:r>
    </w:p>
    <w:p w:rsidR="006D1FE3" w:rsidRPr="00D83E87" w:rsidRDefault="00D83E87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Цитостатики двояко впливають на тканини </w:t>
      </w:r>
      <w:r w:rsidR="006D1FE3" w:rsidRPr="00966737">
        <w:rPr>
          <w:sz w:val="28"/>
          <w:szCs w:val="28"/>
        </w:rPr>
        <w:t>СОПР.</w:t>
      </w:r>
      <w:r>
        <w:rPr>
          <w:sz w:val="28"/>
          <w:szCs w:val="28"/>
          <w:lang w:val="uk-UA"/>
        </w:rPr>
        <w:t xml:space="preserve"> По-перше, вони 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ють прямий цитотоксичний ефект, який обумовлений безпосередньою по</w:t>
      </w:r>
      <w:r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коджувальною дією цих препаратів. По-друге, відмічається непрямий вплив цитостатиків на </w:t>
      </w:r>
      <w:r w:rsidR="006D1FE3" w:rsidRPr="00D83E87">
        <w:rPr>
          <w:sz w:val="28"/>
          <w:szCs w:val="28"/>
          <w:lang w:val="uk-UA"/>
        </w:rPr>
        <w:t xml:space="preserve">СОПР, </w:t>
      </w:r>
      <w:r>
        <w:rPr>
          <w:sz w:val="28"/>
          <w:szCs w:val="28"/>
          <w:lang w:val="uk-UA"/>
        </w:rPr>
        <w:t>який пов</w:t>
      </w:r>
      <w:r w:rsidRPr="00D83E87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язаний із впровадженням у її пошкоджені тканини мікроорганізмів та надходженням продуків їхньої життєдіяльності на фоні індукованих хіміотерапією тяжкої лейкопенії, вираженого пригн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чення імунітету та зниженої секреції слини</w:t>
      </w:r>
      <w:r w:rsidR="006D1FE3" w:rsidRPr="00D83E87">
        <w:rPr>
          <w:sz w:val="28"/>
          <w:szCs w:val="28"/>
          <w:lang w:val="uk-UA"/>
        </w:rPr>
        <w:t>.</w:t>
      </w:r>
    </w:p>
    <w:p w:rsidR="006D1FE3" w:rsidRPr="00966737" w:rsidRDefault="00D83E87" w:rsidP="00E27DC6">
      <w:pPr>
        <w:pStyle w:val="a9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9B1C10">
        <w:rPr>
          <w:sz w:val="28"/>
          <w:szCs w:val="28"/>
          <w:lang w:val="uk-UA"/>
        </w:rPr>
        <w:t>Під впливом цитостатиків</w:t>
      </w:r>
      <w:r>
        <w:rPr>
          <w:sz w:val="28"/>
          <w:szCs w:val="28"/>
          <w:lang w:val="uk-UA"/>
        </w:rPr>
        <w:t xml:space="preserve"> рельєф слизової оболонки згладжується, з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крема, відбувається зменшення кількості та розмірів ниткоподібних сосочків на дорсальній поверхні язика</w:t>
      </w:r>
      <w:r w:rsidR="006D1FE3" w:rsidRPr="00D83E8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Епітеліальні гребені стають менш протяжними та не настільки </w:t>
      </w:r>
      <w:r w:rsidRPr="00461BA0">
        <w:rPr>
          <w:sz w:val="28"/>
          <w:szCs w:val="28"/>
          <w:lang w:val="uk-UA"/>
        </w:rPr>
        <w:t>глибоко вдаються</w:t>
      </w:r>
      <w:r>
        <w:rPr>
          <w:sz w:val="28"/>
          <w:szCs w:val="28"/>
          <w:lang w:val="uk-UA"/>
        </w:rPr>
        <w:t xml:space="preserve"> у власну пластинку</w:t>
      </w:r>
      <w:r w:rsidR="006D1FE3" w:rsidRPr="00966737">
        <w:rPr>
          <w:sz w:val="28"/>
          <w:szCs w:val="28"/>
        </w:rPr>
        <w:t xml:space="preserve"> [75]. </w:t>
      </w:r>
      <w:r>
        <w:rPr>
          <w:sz w:val="28"/>
          <w:szCs w:val="28"/>
          <w:lang w:val="uk-UA"/>
        </w:rPr>
        <w:t>Відмічається ка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lastRenderedPageBreak/>
        <w:t>тина посиленого паракератозу епітелі</w:t>
      </w:r>
      <w:r w:rsidR="004B0027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та наростаючої гідропічної дегенер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ції клітин його росткового шару</w:t>
      </w:r>
      <w:r w:rsidR="006D1FE3" w:rsidRPr="00966737">
        <w:rPr>
          <w:sz w:val="28"/>
          <w:szCs w:val="28"/>
        </w:rPr>
        <w:t xml:space="preserve"> [176-177].</w:t>
      </w:r>
    </w:p>
    <w:p w:rsidR="006D1FE3" w:rsidRPr="00966737" w:rsidRDefault="002F5B50" w:rsidP="00E27DC6">
      <w:pPr>
        <w:pStyle w:val="a9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Найбільш характерним морфологічним проявом одно- або багатораз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вого введення цитостатиків є зменшення товщини епітеліального пласту</w:t>
      </w:r>
      <w:r w:rsidR="006D1FE3" w:rsidRPr="00966737">
        <w:rPr>
          <w:sz w:val="28"/>
          <w:szCs w:val="28"/>
        </w:rPr>
        <w:t xml:space="preserve"> </w:t>
      </w:r>
      <w:r w:rsidR="00571E69">
        <w:rPr>
          <w:sz w:val="28"/>
          <w:szCs w:val="28"/>
          <w:lang w:val="uk-UA"/>
        </w:rPr>
        <w:t>–</w:t>
      </w:r>
      <w:r w:rsidR="006D1FE3" w:rsidRPr="009667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його атрофія</w:t>
      </w:r>
      <w:r w:rsidR="006D1FE3" w:rsidRPr="00966737">
        <w:rPr>
          <w:sz w:val="28"/>
          <w:szCs w:val="28"/>
        </w:rPr>
        <w:t xml:space="preserve"> [178-184]. </w:t>
      </w:r>
      <w:r>
        <w:rPr>
          <w:sz w:val="28"/>
          <w:szCs w:val="28"/>
          <w:lang w:val="uk-UA"/>
        </w:rPr>
        <w:t xml:space="preserve">Як показують дослідження, проведені на пацієнтах, що отримують хіміотерапію, помітні гістологічні зміни </w:t>
      </w:r>
      <w:r w:rsidR="004B00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>розвивают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ся ще до виникнення виражених клінічних проявів пошкодження тканин, 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ких</w:t>
      </w:r>
      <w:r w:rsidR="004B00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виразки</w:t>
      </w:r>
      <w:r w:rsidR="006D1FE3" w:rsidRPr="00966737">
        <w:rPr>
          <w:sz w:val="28"/>
          <w:szCs w:val="28"/>
        </w:rPr>
        <w:t xml:space="preserve"> [185-187].</w:t>
      </w:r>
    </w:p>
    <w:p w:rsidR="006D1FE3" w:rsidRPr="003B2FE8" w:rsidRDefault="004B0027" w:rsidP="00E27DC6">
      <w:pPr>
        <w:pStyle w:val="a9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F5B50">
        <w:rPr>
          <w:sz w:val="28"/>
          <w:szCs w:val="28"/>
          <w:lang w:val="uk-UA"/>
        </w:rPr>
        <w:t xml:space="preserve">же </w:t>
      </w:r>
      <w:r w:rsidR="007E7A71">
        <w:rPr>
          <w:sz w:val="28"/>
          <w:szCs w:val="28"/>
          <w:lang w:val="uk-UA"/>
        </w:rPr>
        <w:t>в</w:t>
      </w:r>
      <w:r w:rsidR="002F5B50">
        <w:rPr>
          <w:sz w:val="28"/>
          <w:szCs w:val="28"/>
          <w:lang w:val="uk-UA"/>
        </w:rPr>
        <w:t xml:space="preserve"> перші дні після введення цитостатичних препаратів відбувається пошкодження епітеліоцитів, яке проявляється зменшенням їх розмірів, вак</w:t>
      </w:r>
      <w:r w:rsidR="002F5B50">
        <w:rPr>
          <w:sz w:val="28"/>
          <w:szCs w:val="28"/>
          <w:lang w:val="uk-UA"/>
        </w:rPr>
        <w:t>у</w:t>
      </w:r>
      <w:r w:rsidR="002F5B50">
        <w:rPr>
          <w:sz w:val="28"/>
          <w:szCs w:val="28"/>
          <w:lang w:val="uk-UA"/>
        </w:rPr>
        <w:t>олізацією та зернистістю цитоплазми, фрагментацією ядер окремих клітин</w:t>
      </w:r>
      <w:r w:rsidR="0025245D">
        <w:rPr>
          <w:sz w:val="28"/>
          <w:szCs w:val="28"/>
          <w:lang w:val="uk-UA"/>
        </w:rPr>
        <w:t xml:space="preserve">. Число пошкоджених клітин зростає до </w:t>
      </w:r>
      <w:r w:rsidR="006D1FE3" w:rsidRPr="003B2FE8">
        <w:rPr>
          <w:sz w:val="28"/>
          <w:szCs w:val="28"/>
          <w:lang w:val="uk-UA"/>
        </w:rPr>
        <w:t>8-10-</w:t>
      </w:r>
      <w:r>
        <w:rPr>
          <w:sz w:val="28"/>
          <w:szCs w:val="28"/>
          <w:lang w:val="uk-UA"/>
        </w:rPr>
        <w:t>и</w:t>
      </w:r>
      <w:r w:rsidR="006D1FE3" w:rsidRPr="003B2FE8">
        <w:rPr>
          <w:sz w:val="28"/>
          <w:szCs w:val="28"/>
          <w:lang w:val="uk-UA"/>
        </w:rPr>
        <w:t xml:space="preserve"> </w:t>
      </w:r>
      <w:r w:rsidR="0025245D">
        <w:rPr>
          <w:sz w:val="28"/>
          <w:szCs w:val="28"/>
          <w:lang w:val="uk-UA"/>
        </w:rPr>
        <w:t>діб</w:t>
      </w:r>
      <w:r w:rsidR="006D1FE3" w:rsidRPr="003B2FE8">
        <w:rPr>
          <w:sz w:val="28"/>
          <w:szCs w:val="28"/>
          <w:lang w:val="uk-UA"/>
        </w:rPr>
        <w:t xml:space="preserve"> [188-189].</w:t>
      </w:r>
    </w:p>
    <w:p w:rsidR="006D1FE3" w:rsidRPr="003B2FE8" w:rsidRDefault="0025245D" w:rsidP="00E27DC6">
      <w:pPr>
        <w:pStyle w:val="a9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Ультраструктурне дослідження епітеліоцитів вже через </w:t>
      </w:r>
      <w:r w:rsidR="006D1FE3" w:rsidRPr="003B2FE8">
        <w:rPr>
          <w:sz w:val="28"/>
          <w:szCs w:val="28"/>
          <w:lang w:val="uk-UA"/>
        </w:rPr>
        <w:t xml:space="preserve">1-3 </w:t>
      </w:r>
      <w:r>
        <w:rPr>
          <w:sz w:val="28"/>
          <w:szCs w:val="28"/>
          <w:lang w:val="uk-UA"/>
        </w:rPr>
        <w:t>доби після введення цитостатиків виявляє збільшений вміст та дезорганізацію тоноф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ламентів, виражену вакуолізацію цитоплазми, варіації її електронної щільн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сті, появу аутофагії</w:t>
      </w:r>
      <w:r w:rsidR="006D1FE3" w:rsidRPr="003B2F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зменшення числа органел, </w:t>
      </w:r>
      <w:r w:rsidR="009B1C10">
        <w:rPr>
          <w:sz w:val="28"/>
          <w:szCs w:val="28"/>
          <w:lang w:val="uk-UA"/>
        </w:rPr>
        <w:t>розширення</w:t>
      </w:r>
      <w:r w:rsidR="006D1FE3" w:rsidRPr="003B2FE8">
        <w:rPr>
          <w:sz w:val="28"/>
          <w:szCs w:val="28"/>
          <w:lang w:val="uk-UA"/>
        </w:rPr>
        <w:t xml:space="preserve"> щ</w:t>
      </w:r>
      <w:r w:rsidR="009B1C10">
        <w:rPr>
          <w:sz w:val="28"/>
          <w:szCs w:val="28"/>
          <w:lang w:val="uk-UA"/>
        </w:rPr>
        <w:t>ілин між</w:t>
      </w:r>
      <w:r w:rsidR="006D1FE3" w:rsidRPr="003B2FE8">
        <w:rPr>
          <w:sz w:val="28"/>
          <w:szCs w:val="28"/>
          <w:lang w:val="uk-UA"/>
        </w:rPr>
        <w:t xml:space="preserve"> кл</w:t>
      </w:r>
      <w:r w:rsidR="009B1C10">
        <w:rPr>
          <w:sz w:val="28"/>
          <w:szCs w:val="28"/>
          <w:lang w:val="uk-UA"/>
        </w:rPr>
        <w:t>і</w:t>
      </w:r>
      <w:r w:rsidR="006D1FE3" w:rsidRPr="003B2FE8">
        <w:rPr>
          <w:sz w:val="28"/>
          <w:szCs w:val="28"/>
          <w:lang w:val="uk-UA"/>
        </w:rPr>
        <w:t>т</w:t>
      </w:r>
      <w:r w:rsidR="004B0027">
        <w:rPr>
          <w:sz w:val="28"/>
          <w:szCs w:val="28"/>
          <w:lang w:val="uk-UA"/>
        </w:rPr>
        <w:t>и</w:t>
      </w:r>
      <w:r w:rsidR="004B0027">
        <w:rPr>
          <w:sz w:val="28"/>
          <w:szCs w:val="28"/>
          <w:lang w:val="uk-UA"/>
        </w:rPr>
        <w:t>на</w:t>
      </w:r>
      <w:r w:rsidR="006D1FE3" w:rsidRPr="003B2FE8">
        <w:rPr>
          <w:sz w:val="28"/>
          <w:szCs w:val="28"/>
          <w:lang w:val="uk-UA"/>
        </w:rPr>
        <w:t xml:space="preserve">ми базального </w:t>
      </w:r>
      <w:r w:rsidR="009B1C10">
        <w:rPr>
          <w:sz w:val="28"/>
          <w:szCs w:val="28"/>
          <w:lang w:val="uk-UA"/>
        </w:rPr>
        <w:t>та</w:t>
      </w:r>
      <w:r w:rsidR="006D1FE3" w:rsidRPr="003B2F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шипуватого шарів, втрату міжклітинних з</w:t>
      </w:r>
      <w:r w:rsidRPr="003B2FE8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єднань</w:t>
      </w:r>
      <w:r w:rsidR="006D1FE3" w:rsidRPr="003B2FE8">
        <w:rPr>
          <w:sz w:val="28"/>
          <w:szCs w:val="28"/>
          <w:lang w:val="uk-UA"/>
        </w:rPr>
        <w:t xml:space="preserve"> [189].</w:t>
      </w:r>
    </w:p>
    <w:p w:rsidR="006D1FE3" w:rsidRPr="0025245D" w:rsidRDefault="0025245D" w:rsidP="00E27DC6">
      <w:pPr>
        <w:pStyle w:val="a9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Причиною початкового пошкодження тканин та клітин цитостатиками, окрім їхнього безпосереднього впливу на </w:t>
      </w:r>
      <w:r w:rsidR="006D1FE3" w:rsidRPr="00966737">
        <w:rPr>
          <w:sz w:val="28"/>
          <w:szCs w:val="28"/>
        </w:rPr>
        <w:t xml:space="preserve">ДНК, </w:t>
      </w:r>
      <w:r>
        <w:rPr>
          <w:sz w:val="28"/>
          <w:szCs w:val="28"/>
          <w:lang w:val="uk-UA"/>
        </w:rPr>
        <w:t>вважають індуковане ними утворення реактивних метаболітів кисню</w:t>
      </w:r>
      <w:r w:rsidR="006D1FE3" w:rsidRPr="00966737">
        <w:rPr>
          <w:sz w:val="28"/>
          <w:szCs w:val="28"/>
        </w:rPr>
        <w:t xml:space="preserve"> (РМК), </w:t>
      </w:r>
      <w:r>
        <w:rPr>
          <w:sz w:val="28"/>
          <w:szCs w:val="28"/>
          <w:lang w:val="uk-UA"/>
        </w:rPr>
        <w:t>або вільних радикалів, які запускають ланцюг біологічних процесів. Пошкоджуються як диференційні, так і камбіальні клітини базального шару епітелію, а також клітини судин та з</w:t>
      </w:r>
      <w:r w:rsidRPr="0025245D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єднувальної тканини власної пластинки </w:t>
      </w:r>
      <w:r w:rsidR="006D1FE3" w:rsidRPr="0025245D">
        <w:rPr>
          <w:sz w:val="28"/>
          <w:szCs w:val="28"/>
          <w:lang w:val="uk-UA"/>
        </w:rPr>
        <w:t>СОПР.</w:t>
      </w:r>
    </w:p>
    <w:p w:rsidR="006D1FE3" w:rsidRPr="00966737" w:rsidRDefault="0025245D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Введення цитостатиків у клінічних умовах та при експериментальному моделюванні </w:t>
      </w:r>
      <w:r w:rsidR="001E7FD3">
        <w:rPr>
          <w:sz w:val="28"/>
          <w:szCs w:val="28"/>
          <w:lang w:val="uk-UA"/>
        </w:rPr>
        <w:t>мукозит</w:t>
      </w:r>
      <w:r>
        <w:rPr>
          <w:sz w:val="28"/>
          <w:szCs w:val="28"/>
          <w:lang w:val="uk-UA"/>
        </w:rPr>
        <w:t>у не завжди призводить до повного руйнування епіт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лі</w:t>
      </w:r>
      <w:r w:rsidR="00C03D0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з утворенням виразок, які зазвичай формуються лише при повторному введенні високих доз препаратів, що справляють виражену цитотоксичну дію</w:t>
      </w:r>
      <w:r w:rsidR="006D1FE3" w:rsidRPr="00966737">
        <w:rPr>
          <w:sz w:val="28"/>
          <w:szCs w:val="28"/>
        </w:rPr>
        <w:t xml:space="preserve"> [190]. </w:t>
      </w:r>
      <w:r w:rsidR="00E34B6D">
        <w:rPr>
          <w:sz w:val="28"/>
          <w:szCs w:val="28"/>
          <w:lang w:val="uk-UA"/>
        </w:rPr>
        <w:t>У цьому випадку</w:t>
      </w:r>
      <w:r w:rsidR="009B1C10">
        <w:rPr>
          <w:sz w:val="28"/>
          <w:szCs w:val="28"/>
          <w:lang w:val="uk-UA"/>
        </w:rPr>
        <w:t>,</w:t>
      </w:r>
      <w:r w:rsidR="00E34B6D">
        <w:rPr>
          <w:sz w:val="28"/>
          <w:szCs w:val="28"/>
          <w:lang w:val="uk-UA"/>
        </w:rPr>
        <w:t xml:space="preserve"> </w:t>
      </w:r>
      <w:r w:rsidR="007E7A71">
        <w:rPr>
          <w:sz w:val="28"/>
          <w:szCs w:val="28"/>
          <w:lang w:val="uk-UA"/>
        </w:rPr>
        <w:t>в</w:t>
      </w:r>
      <w:r w:rsidR="00E34B6D">
        <w:rPr>
          <w:sz w:val="28"/>
          <w:szCs w:val="28"/>
          <w:lang w:val="uk-UA"/>
        </w:rPr>
        <w:t xml:space="preserve"> результаті масивної загибелі гермінати</w:t>
      </w:r>
      <w:r w:rsidR="00E34B6D">
        <w:rPr>
          <w:sz w:val="28"/>
          <w:szCs w:val="28"/>
          <w:lang w:val="uk-UA"/>
        </w:rPr>
        <w:t>в</w:t>
      </w:r>
      <w:r w:rsidR="00E34B6D">
        <w:rPr>
          <w:sz w:val="28"/>
          <w:szCs w:val="28"/>
          <w:lang w:val="uk-UA"/>
        </w:rPr>
        <w:t xml:space="preserve">них/стволових клітин та пригнічення діяльності тих з них, що залишаються у шипуватому шарі, створюється менша кількість клітин, </w:t>
      </w:r>
      <w:r w:rsidR="00C03D0D">
        <w:rPr>
          <w:sz w:val="28"/>
          <w:szCs w:val="28"/>
          <w:lang w:val="uk-UA"/>
        </w:rPr>
        <w:t>які</w:t>
      </w:r>
      <w:r w:rsidR="00E34B6D">
        <w:rPr>
          <w:sz w:val="28"/>
          <w:szCs w:val="28"/>
          <w:lang w:val="uk-UA"/>
        </w:rPr>
        <w:t xml:space="preserve"> диференціюют</w:t>
      </w:r>
      <w:r w:rsidR="00E34B6D">
        <w:rPr>
          <w:sz w:val="28"/>
          <w:szCs w:val="28"/>
          <w:lang w:val="uk-UA"/>
        </w:rPr>
        <w:t>ь</w:t>
      </w:r>
      <w:r w:rsidR="00E34B6D">
        <w:rPr>
          <w:sz w:val="28"/>
          <w:szCs w:val="28"/>
          <w:lang w:val="uk-UA"/>
        </w:rPr>
        <w:lastRenderedPageBreak/>
        <w:t>ся</w:t>
      </w:r>
      <w:r w:rsidR="006D1FE3" w:rsidRPr="00966737">
        <w:rPr>
          <w:sz w:val="28"/>
          <w:szCs w:val="28"/>
        </w:rPr>
        <w:t>.</w:t>
      </w:r>
      <w:r w:rsidR="00E34B6D">
        <w:rPr>
          <w:sz w:val="28"/>
          <w:szCs w:val="28"/>
          <w:lang w:val="uk-UA"/>
        </w:rPr>
        <w:t xml:space="preserve"> Останні також посилено гинуть, і в умовах постійного злущування клітин (рогових лусочок) поверхневого шару не здатні підтримати цілісність епіт</w:t>
      </w:r>
      <w:r w:rsidR="00E34B6D">
        <w:rPr>
          <w:sz w:val="28"/>
          <w:szCs w:val="28"/>
          <w:lang w:val="uk-UA"/>
        </w:rPr>
        <w:t>е</w:t>
      </w:r>
      <w:r w:rsidR="00E34B6D">
        <w:rPr>
          <w:sz w:val="28"/>
          <w:szCs w:val="28"/>
          <w:lang w:val="uk-UA"/>
        </w:rPr>
        <w:t xml:space="preserve">ліального пласту </w:t>
      </w:r>
      <w:r w:rsidR="006D1FE3" w:rsidRPr="00966737">
        <w:rPr>
          <w:sz w:val="28"/>
          <w:szCs w:val="28"/>
        </w:rPr>
        <w:t xml:space="preserve">СОПР. </w:t>
      </w:r>
      <w:r w:rsidR="00E34B6D">
        <w:rPr>
          <w:sz w:val="28"/>
          <w:szCs w:val="28"/>
          <w:lang w:val="uk-UA"/>
        </w:rPr>
        <w:t>Таким чином, внаслідок пошкодження базального шару епітелію порушується його здатність повністю заповнювати спад кл</w:t>
      </w:r>
      <w:r w:rsidR="00E34B6D">
        <w:rPr>
          <w:sz w:val="28"/>
          <w:szCs w:val="28"/>
          <w:lang w:val="uk-UA"/>
        </w:rPr>
        <w:t>і</w:t>
      </w:r>
      <w:r w:rsidR="00E34B6D">
        <w:rPr>
          <w:sz w:val="28"/>
          <w:szCs w:val="28"/>
          <w:lang w:val="uk-UA"/>
        </w:rPr>
        <w:t>тин поверхневого шару внаслідок десквамації</w:t>
      </w:r>
      <w:r w:rsidR="006D1FE3" w:rsidRPr="00966737">
        <w:rPr>
          <w:sz w:val="28"/>
          <w:szCs w:val="28"/>
        </w:rPr>
        <w:t>.</w:t>
      </w:r>
    </w:p>
    <w:p w:rsidR="006D1FE3" w:rsidRPr="009B1C10" w:rsidRDefault="00012028" w:rsidP="00E27DC6">
      <w:pPr>
        <w:pStyle w:val="a9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Пошкодження епітелію цитостатиками, до якого приєднується мікро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не ураження, зумовлює посилену міграцію нейтрофілів до власної пластинки та далі </w:t>
      </w:r>
      <w:r w:rsidR="00571E69">
        <w:rPr>
          <w:sz w:val="28"/>
          <w:szCs w:val="28"/>
          <w:lang w:val="uk-UA"/>
        </w:rPr>
        <w:t>–</w:t>
      </w:r>
      <w:r w:rsidR="006D1FE3" w:rsidRPr="009667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епітеліального пласту</w:t>
      </w:r>
      <w:r w:rsidR="006D1FE3" w:rsidRPr="00966737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однак внаслідок нейтропенії вміст цих клітин у тканинах виявляється порівняно невеликим.</w:t>
      </w:r>
      <w:r w:rsidR="009B1C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Встановлено, що у хв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рих, які отримують хіміотерапію, концентрації нейтрофілів у промивних 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дах порожнини рота, які відображ</w:t>
      </w:r>
      <w:r w:rsidR="00C03D0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ють їхні рівні у власній пла</w:t>
      </w:r>
      <w:r w:rsidR="007E7A7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тинці </w:t>
      </w:r>
      <w:r w:rsidR="006D1FE3" w:rsidRPr="009B1C10">
        <w:rPr>
          <w:sz w:val="28"/>
          <w:szCs w:val="28"/>
          <w:lang w:val="uk-UA"/>
        </w:rPr>
        <w:t xml:space="preserve">СОПР </w:t>
      </w:r>
      <w:r>
        <w:rPr>
          <w:sz w:val="28"/>
          <w:szCs w:val="28"/>
          <w:lang w:val="uk-UA"/>
        </w:rPr>
        <w:t xml:space="preserve">та </w:t>
      </w:r>
      <w:r w:rsidR="00C03D0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крові, різко знижуються на піку лейкопенії</w:t>
      </w:r>
      <w:r w:rsidR="006D1FE3" w:rsidRPr="009B1C10">
        <w:rPr>
          <w:sz w:val="28"/>
          <w:szCs w:val="28"/>
          <w:lang w:val="uk-UA"/>
        </w:rPr>
        <w:t xml:space="preserve"> (на 10</w:t>
      </w:r>
      <w:r w:rsidR="00571E69">
        <w:rPr>
          <w:sz w:val="28"/>
          <w:szCs w:val="28"/>
          <w:lang w:val="uk-UA"/>
        </w:rPr>
        <w:t>-</w:t>
      </w:r>
      <w:r w:rsidR="006D1FE3" w:rsidRPr="009B1C10">
        <w:rPr>
          <w:sz w:val="28"/>
          <w:szCs w:val="28"/>
          <w:lang w:val="uk-UA"/>
        </w:rPr>
        <w:t>14-</w:t>
      </w:r>
      <w:r>
        <w:rPr>
          <w:sz w:val="28"/>
          <w:szCs w:val="28"/>
          <w:lang w:val="uk-UA"/>
        </w:rPr>
        <w:t>ту добу</w:t>
      </w:r>
      <w:r w:rsidR="006D1FE3" w:rsidRPr="009B1C1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більше, ніж у </w:t>
      </w:r>
      <w:r w:rsidR="006D1FE3" w:rsidRPr="009B1C10">
        <w:rPr>
          <w:sz w:val="28"/>
          <w:szCs w:val="28"/>
          <w:lang w:val="uk-UA"/>
        </w:rPr>
        <w:t xml:space="preserve">200 </w:t>
      </w:r>
      <w:r>
        <w:rPr>
          <w:sz w:val="28"/>
          <w:szCs w:val="28"/>
          <w:lang w:val="uk-UA"/>
        </w:rPr>
        <w:t>разів або навіть до невизначеного рівня, повторюючи динаміку концентрації лейкоцитів у крові</w:t>
      </w:r>
      <w:r w:rsidR="006D1FE3" w:rsidRPr="009B1C10">
        <w:rPr>
          <w:sz w:val="28"/>
          <w:szCs w:val="28"/>
          <w:lang w:val="uk-UA"/>
        </w:rPr>
        <w:t xml:space="preserve"> [191-192].</w:t>
      </w:r>
    </w:p>
    <w:p w:rsidR="006D1FE3" w:rsidRPr="0066626B" w:rsidRDefault="00012028" w:rsidP="00E27DC6">
      <w:pPr>
        <w:pStyle w:val="a9"/>
        <w:shd w:val="clear" w:color="auto" w:fill="auto"/>
        <w:spacing w:before="0" w:after="0" w:line="360" w:lineRule="auto"/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Кількісна не</w:t>
      </w:r>
      <w:r w:rsidR="00C03D0D">
        <w:rPr>
          <w:sz w:val="28"/>
          <w:szCs w:val="28"/>
          <w:lang w:val="uk-UA"/>
        </w:rPr>
        <w:t>стача</w:t>
      </w:r>
      <w:r>
        <w:rPr>
          <w:sz w:val="28"/>
          <w:szCs w:val="28"/>
          <w:lang w:val="uk-UA"/>
        </w:rPr>
        <w:t xml:space="preserve"> нейтрофільних гранулоцитів (нейтропенія), що ро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вивається при цитостатичній терапії, поєднується з їхніми глибокими які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ними функціональними порушеннями</w:t>
      </w:r>
      <w:r w:rsidR="006D1FE3" w:rsidRPr="0066626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встановлено, що під впливом цитост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тиків відбувається виражене пригнічення їхньої фагоцитарної та мікробоц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дної активності</w:t>
      </w:r>
      <w:r w:rsidR="006D1FE3" w:rsidRPr="0066626B">
        <w:rPr>
          <w:sz w:val="28"/>
          <w:szCs w:val="28"/>
          <w:lang w:val="uk-UA"/>
        </w:rPr>
        <w:t xml:space="preserve"> [193].</w:t>
      </w:r>
    </w:p>
    <w:p w:rsidR="006D1FE3" w:rsidRPr="00012028" w:rsidRDefault="00012028" w:rsidP="00E27DC6">
      <w:pPr>
        <w:pStyle w:val="a9"/>
        <w:shd w:val="clear" w:color="auto" w:fill="auto"/>
        <w:spacing w:before="0" w:after="0" w:line="360" w:lineRule="auto"/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цитостатичній хіміотерапії розвивається дисфункція слинних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лоз, яка проявляється вираженим зниженням як об</w:t>
      </w:r>
      <w:r w:rsidRPr="0066626B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єму слини, що виробл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ється, так </w:t>
      </w:r>
      <w:r w:rsidR="00C03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вмісту ряду її важливих компонентів. Розвивається </w:t>
      </w:r>
      <w:r w:rsidR="00C03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сухість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ро</w:t>
      </w:r>
      <w:r w:rsidR="007E7A71">
        <w:rPr>
          <w:sz w:val="28"/>
          <w:szCs w:val="28"/>
          <w:lang w:val="uk-UA"/>
        </w:rPr>
        <w:t>жнини рота (ксерост</w:t>
      </w:r>
      <w:r>
        <w:rPr>
          <w:sz w:val="28"/>
          <w:szCs w:val="28"/>
          <w:lang w:val="uk-UA"/>
        </w:rPr>
        <w:t>омія), яка характеризується збільшенням в</w:t>
      </w:r>
      <w:r w:rsidRPr="00012028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язкості слини, зниженням її антимікробних властивостей (що призводить до збіл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шення популяції мікробів на поверхні </w:t>
      </w:r>
      <w:r w:rsidR="006D1FE3" w:rsidRPr="00012028">
        <w:rPr>
          <w:sz w:val="28"/>
          <w:szCs w:val="28"/>
          <w:lang w:val="uk-UA"/>
        </w:rPr>
        <w:t xml:space="preserve">СОПР </w:t>
      </w:r>
      <w:r>
        <w:rPr>
          <w:sz w:val="28"/>
          <w:szCs w:val="28"/>
          <w:lang w:val="uk-UA"/>
        </w:rPr>
        <w:t>та зубів та зростанн</w:t>
      </w:r>
      <w:r w:rsidR="00C03D0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ризик</w:t>
      </w:r>
      <w:r w:rsidR="00C03D0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звитку інфекції порожнини рота</w:t>
      </w:r>
      <w:r w:rsidR="006D1FE3" w:rsidRPr="00012028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порушенням сприйняття смаку та парест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зіям</w:t>
      </w:r>
      <w:r w:rsidR="006D1FE3" w:rsidRPr="000120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</w:t>
      </w:r>
      <w:r w:rsidR="009B1C10">
        <w:rPr>
          <w:sz w:val="28"/>
          <w:szCs w:val="28"/>
          <w:lang w:val="uk-UA"/>
        </w:rPr>
        <w:t>скла</w:t>
      </w:r>
      <w:r>
        <w:rPr>
          <w:sz w:val="28"/>
          <w:szCs w:val="28"/>
          <w:lang w:val="uk-UA"/>
        </w:rPr>
        <w:t>дненням жування та ковтання</w:t>
      </w:r>
      <w:r w:rsidR="006D1FE3" w:rsidRPr="00012028">
        <w:rPr>
          <w:sz w:val="28"/>
          <w:szCs w:val="28"/>
          <w:lang w:val="uk-UA"/>
        </w:rPr>
        <w:t xml:space="preserve"> [189].</w:t>
      </w:r>
    </w:p>
    <w:p w:rsidR="006D1FE3" w:rsidRPr="00966737" w:rsidRDefault="00012028" w:rsidP="00E27DC6">
      <w:pPr>
        <w:pStyle w:val="a9"/>
        <w:shd w:val="clear" w:color="auto" w:fill="auto"/>
        <w:spacing w:before="0" w:after="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Слинні залози, що виділяють свій секрет на поверхню </w:t>
      </w:r>
      <w:r w:rsidR="006D1FE3" w:rsidRPr="00966737">
        <w:rPr>
          <w:sz w:val="28"/>
          <w:szCs w:val="28"/>
        </w:rPr>
        <w:t xml:space="preserve">СОПР, </w:t>
      </w:r>
      <w:r>
        <w:rPr>
          <w:sz w:val="28"/>
          <w:szCs w:val="28"/>
          <w:lang w:val="uk-UA"/>
        </w:rPr>
        <w:t>пошк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джуються цитостатиками не лише подібно до будь-якого іншого органу, але </w:t>
      </w:r>
      <w:r>
        <w:rPr>
          <w:sz w:val="28"/>
          <w:szCs w:val="28"/>
          <w:lang w:val="uk-UA"/>
        </w:rPr>
        <w:lastRenderedPageBreak/>
        <w:t>й внаслідок виб</w:t>
      </w:r>
      <w:r w:rsidR="00C03D0D">
        <w:rPr>
          <w:sz w:val="28"/>
          <w:szCs w:val="28"/>
          <w:lang w:val="uk-UA"/>
        </w:rPr>
        <w:t>іркового</w:t>
      </w:r>
      <w:r>
        <w:rPr>
          <w:sz w:val="28"/>
          <w:szCs w:val="28"/>
          <w:lang w:val="uk-UA"/>
        </w:rPr>
        <w:t xml:space="preserve"> накопичення цих препаратів у слині, що ними синт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зується</w:t>
      </w:r>
      <w:r w:rsidR="006D1FE3" w:rsidRPr="00966737">
        <w:rPr>
          <w:sz w:val="28"/>
          <w:szCs w:val="28"/>
        </w:rPr>
        <w:t xml:space="preserve"> [172, 189].</w:t>
      </w:r>
    </w:p>
    <w:p w:rsidR="006D1FE3" w:rsidRPr="003613ED" w:rsidRDefault="00012028" w:rsidP="00E27DC6">
      <w:pPr>
        <w:pStyle w:val="a9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Структурні зміни слинних залоз при хіміотерапії описані в одиничних роботах. Так, </w:t>
      </w:r>
      <w:r w:rsidRPr="00AB067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експериментальній моделі виявлені дегенеративні зміни кі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цевих відділів та вив</w:t>
      </w:r>
      <w:r w:rsidR="00C03D0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дних проток підщелепної та під</w:t>
      </w:r>
      <w:r w:rsidRPr="00C03D0D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язикової слинних залоз. Різко виражені</w:t>
      </w:r>
      <w:r w:rsidR="00C03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зміни </w:t>
      </w:r>
      <w:r w:rsidR="00C03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відмічені</w:t>
      </w:r>
      <w:r w:rsidR="003613ED">
        <w:rPr>
          <w:sz w:val="28"/>
          <w:szCs w:val="28"/>
          <w:lang w:val="uk-UA"/>
        </w:rPr>
        <w:t xml:space="preserve"> </w:t>
      </w:r>
      <w:r w:rsidR="00C03D0D">
        <w:rPr>
          <w:sz w:val="28"/>
          <w:szCs w:val="28"/>
          <w:lang w:val="uk-UA"/>
        </w:rPr>
        <w:t xml:space="preserve"> в </w:t>
      </w:r>
      <w:r w:rsidR="003613ED">
        <w:rPr>
          <w:sz w:val="28"/>
          <w:szCs w:val="28"/>
          <w:lang w:val="uk-UA"/>
        </w:rPr>
        <w:t xml:space="preserve"> серозних кінцевих відділах та </w:t>
      </w:r>
      <w:r w:rsidR="00C03D0D">
        <w:rPr>
          <w:sz w:val="28"/>
          <w:szCs w:val="28"/>
          <w:lang w:val="uk-UA"/>
        </w:rPr>
        <w:t xml:space="preserve"> </w:t>
      </w:r>
      <w:r w:rsidR="003613ED">
        <w:rPr>
          <w:sz w:val="28"/>
          <w:szCs w:val="28"/>
          <w:lang w:val="uk-UA"/>
        </w:rPr>
        <w:t>дрібних вивідних протоках</w:t>
      </w:r>
      <w:r w:rsidR="006D1FE3" w:rsidRPr="003613ED">
        <w:rPr>
          <w:sz w:val="28"/>
          <w:szCs w:val="28"/>
          <w:lang w:val="uk-UA"/>
        </w:rPr>
        <w:t xml:space="preserve"> [169].</w:t>
      </w:r>
    </w:p>
    <w:p w:rsidR="006D1FE3" w:rsidRPr="00966737" w:rsidRDefault="003613ED" w:rsidP="00E27DC6">
      <w:pPr>
        <w:pStyle w:val="a9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Особливий інтерес представляють зміни чис</w:t>
      </w:r>
      <w:r w:rsidR="00C03D0D">
        <w:rPr>
          <w:sz w:val="28"/>
          <w:szCs w:val="28"/>
          <w:lang w:val="uk-UA"/>
        </w:rPr>
        <w:t>лен</w:t>
      </w:r>
      <w:r>
        <w:rPr>
          <w:sz w:val="28"/>
          <w:szCs w:val="28"/>
          <w:lang w:val="uk-UA"/>
        </w:rPr>
        <w:t>них малих слинних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лоз</w:t>
      </w:r>
      <w:r w:rsidR="006D1FE3" w:rsidRPr="0096673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які розміщуються у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>та розсіяні по всій порожнині рота</w:t>
      </w:r>
      <w:r w:rsidR="006D1FE3" w:rsidRPr="009667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Хоча вони створюють лише до </w:t>
      </w:r>
      <w:r w:rsidR="006D1FE3" w:rsidRPr="003613ED">
        <w:rPr>
          <w:sz w:val="28"/>
          <w:szCs w:val="28"/>
          <w:lang w:val="uk-UA"/>
        </w:rPr>
        <w:t xml:space="preserve">10% </w:t>
      </w:r>
      <w:r>
        <w:rPr>
          <w:sz w:val="28"/>
          <w:szCs w:val="28"/>
          <w:lang w:val="uk-UA"/>
        </w:rPr>
        <w:t>загального об</w:t>
      </w:r>
      <w:r w:rsidRPr="003613ED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єму слини, вони відіграють важливу роль у захисті слизової оболонки, оскільки слина, що ними продукується, 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стить дуже високі концентрації муцинів та секреторного </w:t>
      </w:r>
      <w:r w:rsidR="006D1FE3" w:rsidRPr="004E6ED8">
        <w:rPr>
          <w:i/>
          <w:sz w:val="28"/>
          <w:szCs w:val="28"/>
        </w:rPr>
        <w:t>IgA</w:t>
      </w:r>
      <w:r w:rsidR="009E5672">
        <w:rPr>
          <w:i/>
          <w:sz w:val="28"/>
          <w:szCs w:val="28"/>
          <w:lang w:val="uk-UA"/>
        </w:rPr>
        <w:t xml:space="preserve"> </w:t>
      </w:r>
      <w:r w:rsidR="006D1FE3" w:rsidRPr="003613ED">
        <w:rPr>
          <w:sz w:val="28"/>
          <w:szCs w:val="28"/>
          <w:lang w:val="uk-UA"/>
        </w:rPr>
        <w:t xml:space="preserve">[194]. </w:t>
      </w:r>
      <w:r w:rsidR="00E940C9">
        <w:rPr>
          <w:sz w:val="28"/>
          <w:szCs w:val="28"/>
          <w:lang w:val="uk-UA"/>
        </w:rPr>
        <w:t>Функці</w:t>
      </w:r>
      <w:r w:rsidR="00E940C9">
        <w:rPr>
          <w:sz w:val="28"/>
          <w:szCs w:val="28"/>
          <w:lang w:val="uk-UA"/>
        </w:rPr>
        <w:t>о</w:t>
      </w:r>
      <w:r w:rsidR="00E940C9">
        <w:rPr>
          <w:sz w:val="28"/>
          <w:szCs w:val="28"/>
          <w:lang w:val="uk-UA"/>
        </w:rPr>
        <w:t>нальні дослідження губних залоз у пацієнтів, що отримують хіміотерапію, вказали на зниження вироблення слини</w:t>
      </w:r>
      <w:r w:rsidR="006D1FE3" w:rsidRPr="00966737">
        <w:rPr>
          <w:sz w:val="28"/>
          <w:szCs w:val="28"/>
        </w:rPr>
        <w:t xml:space="preserve"> [195].</w:t>
      </w:r>
    </w:p>
    <w:p w:rsidR="006D1FE3" w:rsidRPr="00E940C9" w:rsidRDefault="00E940C9" w:rsidP="00E27DC6">
      <w:pPr>
        <w:pStyle w:val="a9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</w:t>
      </w:r>
      <w:r w:rsidR="00C03D0D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отримани</w:t>
      </w:r>
      <w:r w:rsidR="00C03D0D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експериментальни</w:t>
      </w:r>
      <w:r w:rsidR="00C03D0D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дани</w:t>
      </w:r>
      <w:r w:rsidR="00C03D0D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, з</w:t>
      </w:r>
      <w:r w:rsidRPr="00E940C9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єднувальна ткан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на власної пластинки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>є також найважливішою мішенню цитостатиків, які впливають на її окремі клітинні популяції та їхню взаємодію</w:t>
      </w:r>
      <w:r w:rsidR="006D1FE3" w:rsidRPr="009667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Від стану власної пластинки</w:t>
      </w:r>
      <w:r w:rsidR="00C03D0D">
        <w:rPr>
          <w:sz w:val="28"/>
          <w:szCs w:val="28"/>
          <w:lang w:val="uk-UA"/>
        </w:rPr>
        <w:t xml:space="preserve"> </w:t>
      </w:r>
      <w:r w:rsidR="00571E69">
        <w:rPr>
          <w:sz w:val="28"/>
          <w:szCs w:val="28"/>
          <w:lang w:val="uk-UA"/>
        </w:rPr>
        <w:t>–</w:t>
      </w:r>
      <w:r w:rsidR="006D1FE3" w:rsidRPr="00E940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її клітин, компонентів міжклітинної речовини та кров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носних судин</w:t>
      </w:r>
      <w:r w:rsidR="006D1FE3" w:rsidRPr="00E940C9">
        <w:rPr>
          <w:sz w:val="28"/>
          <w:szCs w:val="28"/>
          <w:lang w:val="uk-UA"/>
        </w:rPr>
        <w:t xml:space="preserve"> </w:t>
      </w:r>
      <w:r w:rsidR="00571E69">
        <w:rPr>
          <w:sz w:val="28"/>
          <w:szCs w:val="28"/>
          <w:lang w:val="uk-UA"/>
        </w:rPr>
        <w:t>–</w:t>
      </w:r>
      <w:r w:rsidR="006D1FE3" w:rsidRPr="00E940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значній мірі залежить стабільна кінетика епітелію </w:t>
      </w:r>
      <w:r w:rsidR="006D1FE3" w:rsidRPr="003B2FE8">
        <w:rPr>
          <w:sz w:val="28"/>
          <w:szCs w:val="28"/>
          <w:lang w:val="uk-UA"/>
        </w:rPr>
        <w:t xml:space="preserve">СОПР, </w:t>
      </w:r>
      <w:r>
        <w:rPr>
          <w:sz w:val="28"/>
          <w:szCs w:val="28"/>
          <w:lang w:val="uk-UA"/>
        </w:rPr>
        <w:t>як системи, що оновлюється</w:t>
      </w:r>
      <w:r w:rsidR="006D1FE3" w:rsidRPr="003B2FE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Тому реакція </w:t>
      </w:r>
      <w:r w:rsidR="006D1FE3" w:rsidRPr="003B2FE8">
        <w:rPr>
          <w:sz w:val="28"/>
          <w:szCs w:val="28"/>
          <w:lang w:val="uk-UA"/>
        </w:rPr>
        <w:t xml:space="preserve">СОПР </w:t>
      </w:r>
      <w:r>
        <w:rPr>
          <w:sz w:val="28"/>
          <w:szCs w:val="28"/>
          <w:lang w:val="uk-UA"/>
        </w:rPr>
        <w:t>на цитостатичну хіміотерапію буде залежати від чутливості до неї різних тканевих компонентів, а також і від факторів клітинної кінетики. Зокрема, розвитку атрофії епітелію сприяє не лише пошкодження його камбіальних клітин, але й порушення, обумовл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ні змінами з</w:t>
      </w:r>
      <w:r w:rsidRPr="00E940C9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єднувальної тканини власної пластинки</w:t>
      </w:r>
      <w:r w:rsidR="006D1FE3" w:rsidRPr="00E940C9">
        <w:rPr>
          <w:sz w:val="28"/>
          <w:szCs w:val="28"/>
          <w:lang w:val="uk-UA"/>
        </w:rPr>
        <w:t xml:space="preserve"> [196].</w:t>
      </w:r>
    </w:p>
    <w:p w:rsidR="006D1FE3" w:rsidRPr="003D0979" w:rsidRDefault="00E940C9" w:rsidP="00E27DC6">
      <w:pPr>
        <w:pStyle w:val="a9"/>
        <w:shd w:val="clear" w:color="auto" w:fill="auto"/>
        <w:spacing w:before="0" w:after="0" w:line="360" w:lineRule="auto"/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Цитостатики впливають на метаболічну активність фібробластів, зо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рема, посилюють секрецію простагландіна </w:t>
      </w:r>
      <w:r w:rsidR="006D1FE3" w:rsidRPr="00E940C9">
        <w:rPr>
          <w:i/>
          <w:sz w:val="28"/>
          <w:szCs w:val="28"/>
          <w:lang w:val="uk-UA"/>
        </w:rPr>
        <w:t>Е</w:t>
      </w:r>
      <w:r w:rsidR="006D1FE3" w:rsidRPr="00E940C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пригнічують с</w:t>
      </w:r>
      <w:r w:rsidR="009E567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нтез білка та проліферацію</w:t>
      </w:r>
      <w:r w:rsidR="006D1FE3" w:rsidRPr="00E940C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Ряд протипухлинних препаратів має здатність викликати ап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птоз фібробластів</w:t>
      </w:r>
      <w:r w:rsidR="006D1FE3" w:rsidRPr="003D0979">
        <w:rPr>
          <w:sz w:val="28"/>
          <w:szCs w:val="28"/>
          <w:lang w:val="uk-UA"/>
        </w:rPr>
        <w:t xml:space="preserve"> [197-198].</w:t>
      </w:r>
    </w:p>
    <w:p w:rsidR="006D1FE3" w:rsidRPr="003B2FE8" w:rsidRDefault="003B2FE8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цитостатичній терапії, в умовах викликаної нею нейтропенії, не дивлячись на антигенну стимуляцію, вміст нейтрофілів у з</w:t>
      </w:r>
      <w:r w:rsidRPr="003D0979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єднувальній тк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lastRenderedPageBreak/>
        <w:t>нині залишається незначним, що, у поєднанні з їхньою функціональною 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повноцінністю</w:t>
      </w:r>
      <w:r w:rsidR="00C03D0D">
        <w:rPr>
          <w:sz w:val="28"/>
          <w:szCs w:val="28"/>
          <w:lang w:val="uk-UA"/>
        </w:rPr>
        <w:t xml:space="preserve"> </w:t>
      </w:r>
      <w:r w:rsidR="006D1FE3" w:rsidRPr="008714CE">
        <w:rPr>
          <w:sz w:val="28"/>
          <w:szCs w:val="28"/>
          <w:lang w:val="uk-UA"/>
        </w:rPr>
        <w:t xml:space="preserve">[169], </w:t>
      </w:r>
      <w:r>
        <w:rPr>
          <w:sz w:val="28"/>
          <w:szCs w:val="28"/>
          <w:lang w:val="uk-UA"/>
        </w:rPr>
        <w:t>створює умови для безперешкодного розповсюдження мікроорганізмів та їх проникнення до кровоносних судин</w:t>
      </w:r>
      <w:r w:rsidR="006D1FE3" w:rsidRPr="008714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Добре відомо, що нейтропенія є одним з головних факторів розвитку септицемії у хворих </w:t>
      </w:r>
      <w:r w:rsidR="00C03D0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ході цитостатичної хіміотерапії, причому </w:t>
      </w:r>
      <w:r w:rsidR="00C03D0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значній частині випадків </w:t>
      </w:r>
      <w:r w:rsidR="006D1FE3" w:rsidRPr="003B2FE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вхідними воротами</w:t>
      </w:r>
      <w:r w:rsidR="006D1FE3" w:rsidRPr="003B2FE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інфекції слу</w:t>
      </w:r>
      <w:r w:rsidR="009E5672">
        <w:rPr>
          <w:sz w:val="28"/>
          <w:szCs w:val="28"/>
          <w:lang w:val="uk-UA"/>
        </w:rPr>
        <w:t>гувала</w:t>
      </w:r>
      <w:r>
        <w:rPr>
          <w:sz w:val="28"/>
          <w:szCs w:val="28"/>
          <w:lang w:val="uk-UA"/>
        </w:rPr>
        <w:t xml:space="preserve"> </w:t>
      </w:r>
      <w:r w:rsidR="006D1FE3" w:rsidRPr="003B2FE8">
        <w:rPr>
          <w:sz w:val="28"/>
          <w:szCs w:val="28"/>
          <w:lang w:val="uk-UA"/>
        </w:rPr>
        <w:t>СОПР [173].</w:t>
      </w:r>
    </w:p>
    <w:p w:rsidR="006D1FE3" w:rsidRPr="003B2FE8" w:rsidRDefault="003B2FE8" w:rsidP="00E27DC6">
      <w:pPr>
        <w:pStyle w:val="a9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Агранулоцити у власній пластинці нормальної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>представлені 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реважно </w:t>
      </w:r>
      <w:r w:rsidR="006D1FE3" w:rsidRPr="00966737">
        <w:rPr>
          <w:sz w:val="28"/>
          <w:szCs w:val="28"/>
        </w:rPr>
        <w:t>Т-л</w:t>
      </w:r>
      <w:r>
        <w:rPr>
          <w:sz w:val="28"/>
          <w:szCs w:val="28"/>
          <w:lang w:val="uk-UA"/>
        </w:rPr>
        <w:t>імфоцитами, вміст яких, як показано на експериментальній м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делі, під впливом високих доз цитостатика швидко знижується у власній пл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стинці слизової оболонки щоки </w:t>
      </w:r>
      <w:r w:rsidR="006D1FE3" w:rsidRPr="00966737">
        <w:rPr>
          <w:sz w:val="28"/>
          <w:szCs w:val="28"/>
        </w:rPr>
        <w:t xml:space="preserve">[199]. </w:t>
      </w:r>
      <w:r>
        <w:rPr>
          <w:sz w:val="28"/>
          <w:szCs w:val="28"/>
          <w:lang w:val="uk-UA"/>
        </w:rPr>
        <w:t>При цьому, не дивлячись на індуков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ну імунодепресію, антигенна стимуляція викликає певну активацію місцевої імунної системи та призводить до зсуву балансу про- та антизапальних цит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кінів</w:t>
      </w:r>
      <w:r w:rsidR="006D1FE3" w:rsidRPr="0096673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що характерн</w:t>
      </w:r>
      <w:r w:rsidR="00C03D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для нормального стану. Таким чином, у розвитку </w:t>
      </w:r>
      <w:r w:rsidR="001E7FD3">
        <w:rPr>
          <w:sz w:val="28"/>
          <w:szCs w:val="28"/>
          <w:lang w:val="uk-UA"/>
        </w:rPr>
        <w:t>мук</w:t>
      </w:r>
      <w:r w:rsidR="001E7FD3">
        <w:rPr>
          <w:sz w:val="28"/>
          <w:szCs w:val="28"/>
          <w:lang w:val="uk-UA"/>
        </w:rPr>
        <w:t>о</w:t>
      </w:r>
      <w:r w:rsidR="001E7FD3">
        <w:rPr>
          <w:sz w:val="28"/>
          <w:szCs w:val="28"/>
          <w:lang w:val="uk-UA"/>
        </w:rPr>
        <w:t>зит</w:t>
      </w:r>
      <w:r>
        <w:rPr>
          <w:sz w:val="28"/>
          <w:szCs w:val="28"/>
          <w:lang w:val="uk-UA"/>
        </w:rPr>
        <w:t>у, не дивлячись на імунодепресивний стан, певну роль відіграють лімф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цити </w:t>
      </w:r>
      <w:r w:rsidR="00571E69">
        <w:rPr>
          <w:sz w:val="28"/>
          <w:szCs w:val="28"/>
          <w:lang w:val="uk-UA"/>
        </w:rPr>
        <w:t>–</w:t>
      </w:r>
      <w:r w:rsidR="006D1FE3" w:rsidRPr="003B2F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клітини, що забезпечують адаптивний імунітет</w:t>
      </w:r>
      <w:r w:rsidR="006D1FE3" w:rsidRPr="003B2FE8">
        <w:rPr>
          <w:sz w:val="28"/>
          <w:szCs w:val="28"/>
          <w:lang w:val="uk-UA"/>
        </w:rPr>
        <w:t xml:space="preserve"> [200].</w:t>
      </w:r>
    </w:p>
    <w:p w:rsidR="006D1FE3" w:rsidRPr="004A0E42" w:rsidRDefault="00C03D0D" w:rsidP="00E27DC6">
      <w:pPr>
        <w:pStyle w:val="a9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A0E42">
        <w:rPr>
          <w:sz w:val="28"/>
          <w:szCs w:val="28"/>
          <w:lang w:val="uk-UA"/>
        </w:rPr>
        <w:t>ведення цитостатиків, що відносяться до різних груп, призводить до виражених функціональни</w:t>
      </w:r>
      <w:r w:rsidR="00571E69">
        <w:rPr>
          <w:sz w:val="28"/>
          <w:szCs w:val="28"/>
          <w:lang w:val="uk-UA"/>
        </w:rPr>
        <w:t>х</w:t>
      </w:r>
      <w:r w:rsidR="004A0E42">
        <w:rPr>
          <w:sz w:val="28"/>
          <w:szCs w:val="28"/>
          <w:lang w:val="uk-UA"/>
        </w:rPr>
        <w:t xml:space="preserve"> порушен</w:t>
      </w:r>
      <w:r w:rsidR="00571E69">
        <w:rPr>
          <w:sz w:val="28"/>
          <w:szCs w:val="28"/>
          <w:lang w:val="uk-UA"/>
        </w:rPr>
        <w:t>ь</w:t>
      </w:r>
      <w:r w:rsidR="004A0E42">
        <w:rPr>
          <w:sz w:val="28"/>
          <w:szCs w:val="28"/>
          <w:lang w:val="uk-UA"/>
        </w:rPr>
        <w:t xml:space="preserve"> макрофагів </w:t>
      </w:r>
      <w:r w:rsidR="006D1FE3" w:rsidRPr="00966737">
        <w:rPr>
          <w:sz w:val="28"/>
          <w:szCs w:val="28"/>
          <w:lang w:eastAsia="es-ES_tradnl"/>
        </w:rPr>
        <w:t>invivo</w:t>
      </w:r>
      <w:r w:rsidR="006D1FE3" w:rsidRPr="003D0979">
        <w:rPr>
          <w:sz w:val="28"/>
          <w:szCs w:val="28"/>
          <w:lang w:val="uk-UA" w:eastAsia="es-ES_tradnl"/>
        </w:rPr>
        <w:t xml:space="preserve">, </w:t>
      </w:r>
      <w:r w:rsidR="004A0E42">
        <w:rPr>
          <w:sz w:val="28"/>
          <w:szCs w:val="28"/>
          <w:lang w:val="uk-UA" w:eastAsia="es-ES_tradnl"/>
        </w:rPr>
        <w:t>зокрема, до пригн</w:t>
      </w:r>
      <w:r w:rsidR="004A0E42">
        <w:rPr>
          <w:sz w:val="28"/>
          <w:szCs w:val="28"/>
          <w:lang w:val="uk-UA" w:eastAsia="es-ES_tradnl"/>
        </w:rPr>
        <w:t>і</w:t>
      </w:r>
      <w:r w:rsidR="004A0E42">
        <w:rPr>
          <w:sz w:val="28"/>
          <w:szCs w:val="28"/>
          <w:lang w:val="uk-UA" w:eastAsia="es-ES_tradnl"/>
        </w:rPr>
        <w:t>чення їхньої фагоцитарної та мікробоцидної активності. Між тим, відмічено, що цитостатики не п</w:t>
      </w:r>
      <w:r>
        <w:rPr>
          <w:sz w:val="28"/>
          <w:szCs w:val="28"/>
          <w:lang w:val="uk-UA" w:eastAsia="es-ES_tradnl"/>
        </w:rPr>
        <w:t>ригнічують</w:t>
      </w:r>
      <w:r w:rsidR="004A0E42">
        <w:rPr>
          <w:sz w:val="28"/>
          <w:szCs w:val="28"/>
          <w:lang w:val="uk-UA" w:eastAsia="es-ES_tradnl"/>
        </w:rPr>
        <w:t xml:space="preserve"> повністю здатність макрофагів виробляти цитокіни та фактори росту у відповідь на стимуляцію мікробними ліпопол</w:t>
      </w:r>
      <w:r w:rsidR="004A0E42">
        <w:rPr>
          <w:sz w:val="28"/>
          <w:szCs w:val="28"/>
          <w:lang w:val="uk-UA" w:eastAsia="es-ES_tradnl"/>
        </w:rPr>
        <w:t>і</w:t>
      </w:r>
      <w:r w:rsidR="004A0E42">
        <w:rPr>
          <w:sz w:val="28"/>
          <w:szCs w:val="28"/>
          <w:lang w:val="uk-UA" w:eastAsia="es-ES_tradnl"/>
        </w:rPr>
        <w:t>сахаридами</w:t>
      </w:r>
      <w:r w:rsidR="006D1FE3" w:rsidRPr="004A0E42">
        <w:rPr>
          <w:sz w:val="28"/>
          <w:szCs w:val="28"/>
          <w:lang w:val="uk-UA"/>
        </w:rPr>
        <w:t xml:space="preserve"> (ЛПС), </w:t>
      </w:r>
      <w:r w:rsidR="004A0E42">
        <w:rPr>
          <w:sz w:val="28"/>
          <w:szCs w:val="28"/>
          <w:lang w:val="uk-UA"/>
        </w:rPr>
        <w:t>яка посилюється внаслідок пошкодження покривного еп</w:t>
      </w:r>
      <w:r w:rsidR="004A0E42">
        <w:rPr>
          <w:sz w:val="28"/>
          <w:szCs w:val="28"/>
          <w:lang w:val="uk-UA"/>
        </w:rPr>
        <w:t>і</w:t>
      </w:r>
      <w:r w:rsidR="004A0E42">
        <w:rPr>
          <w:sz w:val="28"/>
          <w:szCs w:val="28"/>
          <w:lang w:val="uk-UA"/>
        </w:rPr>
        <w:t>телію</w:t>
      </w:r>
      <w:r w:rsidR="006D1FE3" w:rsidRPr="004A0E42">
        <w:rPr>
          <w:sz w:val="28"/>
          <w:szCs w:val="28"/>
          <w:lang w:val="uk-UA"/>
        </w:rPr>
        <w:t xml:space="preserve">. </w:t>
      </w:r>
      <w:r w:rsidR="004A0E42">
        <w:rPr>
          <w:sz w:val="28"/>
          <w:szCs w:val="28"/>
          <w:lang w:val="uk-UA"/>
        </w:rPr>
        <w:t>У макрофагах, зокрема, підвищується експресія фактору некроз</w:t>
      </w:r>
      <w:r w:rsidR="009979DF">
        <w:rPr>
          <w:sz w:val="28"/>
          <w:szCs w:val="28"/>
          <w:lang w:val="uk-UA"/>
        </w:rPr>
        <w:t>у</w:t>
      </w:r>
      <w:r w:rsidR="004A0E42">
        <w:rPr>
          <w:sz w:val="28"/>
          <w:szCs w:val="28"/>
          <w:lang w:val="uk-UA"/>
        </w:rPr>
        <w:t xml:space="preserve"> пу</w:t>
      </w:r>
      <w:r w:rsidR="004A0E42">
        <w:rPr>
          <w:sz w:val="28"/>
          <w:szCs w:val="28"/>
          <w:lang w:val="uk-UA"/>
        </w:rPr>
        <w:t>х</w:t>
      </w:r>
      <w:r w:rsidR="004A0E42">
        <w:rPr>
          <w:sz w:val="28"/>
          <w:szCs w:val="28"/>
          <w:lang w:val="uk-UA"/>
        </w:rPr>
        <w:t>лини</w:t>
      </w:r>
      <w:r w:rsidR="006D1FE3" w:rsidRPr="004A0E42">
        <w:rPr>
          <w:sz w:val="28"/>
          <w:szCs w:val="28"/>
          <w:lang w:val="uk-UA" w:eastAsia="es-ES_tradnl"/>
        </w:rPr>
        <w:t>-</w:t>
      </w:r>
      <w:r w:rsidR="006D1FE3" w:rsidRPr="00966737">
        <w:rPr>
          <w:sz w:val="28"/>
          <w:szCs w:val="28"/>
          <w:lang w:eastAsia="es-ES_tradnl"/>
        </w:rPr>
        <w:t>a</w:t>
      </w:r>
      <w:r w:rsidR="004E6ED8" w:rsidRPr="004A0E42">
        <w:rPr>
          <w:sz w:val="28"/>
          <w:szCs w:val="28"/>
          <w:lang w:val="uk-UA" w:eastAsia="es-ES_tradnl"/>
        </w:rPr>
        <w:t>льфа (ФНО</w:t>
      </w:r>
      <w:r w:rsidR="00922C49" w:rsidRPr="004A0E42">
        <w:rPr>
          <w:sz w:val="28"/>
          <w:szCs w:val="28"/>
          <w:lang w:val="uk-UA" w:eastAsia="es-ES_tradnl"/>
        </w:rPr>
        <w:t>–</w:t>
      </w:r>
      <w:r w:rsidR="00922C49">
        <w:rPr>
          <w:sz w:val="28"/>
          <w:szCs w:val="28"/>
          <w:lang w:eastAsia="es-ES_tradnl"/>
        </w:rPr>
        <w:t>α</w:t>
      </w:r>
      <w:r w:rsidR="00922C49" w:rsidRPr="004A0E42">
        <w:rPr>
          <w:sz w:val="28"/>
          <w:szCs w:val="28"/>
          <w:lang w:val="uk-UA" w:eastAsia="es-ES_tradnl"/>
        </w:rPr>
        <w:t>)</w:t>
      </w:r>
      <w:r w:rsidR="006D1FE3" w:rsidRPr="004A0E42">
        <w:rPr>
          <w:sz w:val="28"/>
          <w:szCs w:val="28"/>
          <w:lang w:val="uk-UA" w:eastAsia="es-ES_tradnl"/>
        </w:rPr>
        <w:t xml:space="preserve">, </w:t>
      </w:r>
      <w:r w:rsidR="004A0E42">
        <w:rPr>
          <w:sz w:val="28"/>
          <w:szCs w:val="28"/>
          <w:lang w:val="uk-UA" w:eastAsia="es-ES_tradnl"/>
        </w:rPr>
        <w:t>що поєднується з посил</w:t>
      </w:r>
      <w:r w:rsidR="009979DF">
        <w:rPr>
          <w:sz w:val="28"/>
          <w:szCs w:val="28"/>
          <w:lang w:val="uk-UA" w:eastAsia="es-ES_tradnl"/>
        </w:rPr>
        <w:t>енням пошкодження тканин. Захис</w:t>
      </w:r>
      <w:r w:rsidR="004A0E42">
        <w:rPr>
          <w:sz w:val="28"/>
          <w:szCs w:val="28"/>
          <w:lang w:val="uk-UA" w:eastAsia="es-ES_tradnl"/>
        </w:rPr>
        <w:t>ну роль при цьому відіграє посилене виділення цитокінів</w:t>
      </w:r>
      <w:r w:rsidR="009E5672">
        <w:rPr>
          <w:sz w:val="28"/>
          <w:szCs w:val="28"/>
          <w:lang w:val="uk-UA" w:eastAsia="es-ES_tradnl"/>
        </w:rPr>
        <w:t xml:space="preserve"> </w:t>
      </w:r>
      <w:r w:rsidR="004A0E42">
        <w:rPr>
          <w:sz w:val="28"/>
          <w:szCs w:val="28"/>
          <w:lang w:val="uk-UA"/>
        </w:rPr>
        <w:t>І</w:t>
      </w:r>
      <w:r w:rsidR="006D1FE3" w:rsidRPr="004A0E42">
        <w:rPr>
          <w:sz w:val="28"/>
          <w:szCs w:val="28"/>
          <w:lang w:val="uk-UA"/>
        </w:rPr>
        <w:t xml:space="preserve">Л-10, </w:t>
      </w:r>
      <w:r w:rsidR="004A0E42">
        <w:rPr>
          <w:sz w:val="28"/>
          <w:szCs w:val="28"/>
          <w:lang w:val="uk-UA"/>
        </w:rPr>
        <w:t>яке о</w:t>
      </w:r>
      <w:r w:rsidR="004A0E42">
        <w:rPr>
          <w:sz w:val="28"/>
          <w:szCs w:val="28"/>
          <w:lang w:val="uk-UA"/>
        </w:rPr>
        <w:t>б</w:t>
      </w:r>
      <w:r w:rsidR="004A0E42">
        <w:rPr>
          <w:sz w:val="28"/>
          <w:szCs w:val="28"/>
          <w:lang w:val="uk-UA"/>
        </w:rPr>
        <w:t xml:space="preserve">межує розвиток </w:t>
      </w:r>
      <w:r w:rsidR="001E7FD3">
        <w:rPr>
          <w:sz w:val="28"/>
          <w:szCs w:val="28"/>
          <w:lang w:val="uk-UA"/>
        </w:rPr>
        <w:t>мукозит</w:t>
      </w:r>
      <w:r w:rsidR="004A0E42">
        <w:rPr>
          <w:sz w:val="28"/>
          <w:szCs w:val="28"/>
          <w:lang w:val="uk-UA"/>
        </w:rPr>
        <w:t>у</w:t>
      </w:r>
      <w:r w:rsidR="006D1FE3" w:rsidRPr="004A0E42">
        <w:rPr>
          <w:sz w:val="28"/>
          <w:szCs w:val="28"/>
          <w:lang w:val="uk-UA"/>
        </w:rPr>
        <w:t xml:space="preserve"> [200].</w:t>
      </w:r>
    </w:p>
    <w:p w:rsidR="006D1FE3" w:rsidRPr="00966737" w:rsidRDefault="004A0E42" w:rsidP="00E27DC6">
      <w:pPr>
        <w:pStyle w:val="a9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даними експериментального аналізу, введення цитостатика викликає швидке зменшення числа дендритних ан</w:t>
      </w:r>
      <w:r w:rsidR="006D1FE3" w:rsidRPr="00966737">
        <w:rPr>
          <w:sz w:val="28"/>
          <w:szCs w:val="28"/>
        </w:rPr>
        <w:t>тиген-</w:t>
      </w:r>
      <w:r>
        <w:rPr>
          <w:sz w:val="28"/>
          <w:szCs w:val="28"/>
          <w:lang w:val="uk-UA"/>
        </w:rPr>
        <w:t>представляючих клітин у вл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сній пластинці</w:t>
      </w:r>
      <w:r w:rsidR="006D1FE3" w:rsidRPr="00966737">
        <w:rPr>
          <w:sz w:val="28"/>
          <w:szCs w:val="28"/>
        </w:rPr>
        <w:t xml:space="preserve"> СОПР [199]. </w:t>
      </w:r>
      <w:r>
        <w:rPr>
          <w:sz w:val="28"/>
          <w:szCs w:val="28"/>
          <w:lang w:val="uk-UA"/>
        </w:rPr>
        <w:t>Ці результати вказують на пригнічення аферен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ної ланки реакцій клітинного імунітету на рівні власної пластинки</w:t>
      </w:r>
      <w:r w:rsidR="006D1FE3" w:rsidRPr="00966737">
        <w:rPr>
          <w:sz w:val="28"/>
          <w:szCs w:val="28"/>
        </w:rPr>
        <w:t>.</w:t>
      </w:r>
    </w:p>
    <w:p w:rsidR="006D1FE3" w:rsidRPr="00966737" w:rsidRDefault="00B7168B" w:rsidP="00E27DC6">
      <w:pPr>
        <w:pStyle w:val="a9"/>
        <w:shd w:val="clear" w:color="auto" w:fill="auto"/>
        <w:spacing w:before="0" w:after="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Міжклітинна речовина з</w:t>
      </w:r>
      <w:r w:rsidRPr="00B7168B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 xml:space="preserve">єднувальної тканини власної пластинки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>п</w:t>
      </w:r>
      <w:r w:rsidR="003A6D0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вплив</w:t>
      </w:r>
      <w:r w:rsidR="003A6D05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цитостатиків також зазнає дегенеративних змін, її колагенові волокна піддаються дезорганізації та фарбуються слабше</w:t>
      </w:r>
      <w:r w:rsidR="003A6D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ніж у нормі</w:t>
      </w:r>
      <w:r w:rsidR="006D1FE3" w:rsidRPr="00966737">
        <w:rPr>
          <w:sz w:val="28"/>
          <w:szCs w:val="28"/>
        </w:rPr>
        <w:t xml:space="preserve"> [179]. </w:t>
      </w:r>
      <w:r>
        <w:rPr>
          <w:sz w:val="28"/>
          <w:szCs w:val="28"/>
          <w:lang w:val="uk-UA"/>
        </w:rPr>
        <w:t xml:space="preserve">Руйнування колагенових волокон виявлено приблизно </w:t>
      </w:r>
      <w:r w:rsidR="003A6D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6D1FE3" w:rsidRPr="00966737">
        <w:rPr>
          <w:sz w:val="28"/>
          <w:szCs w:val="28"/>
        </w:rPr>
        <w:t xml:space="preserve">50% </w:t>
      </w:r>
      <w:r>
        <w:rPr>
          <w:sz w:val="28"/>
          <w:szCs w:val="28"/>
          <w:lang w:val="uk-UA"/>
        </w:rPr>
        <w:t xml:space="preserve">пацієнтів з </w:t>
      </w:r>
      <w:r w:rsidR="001E7FD3">
        <w:rPr>
          <w:sz w:val="28"/>
          <w:szCs w:val="28"/>
          <w:lang w:val="uk-UA"/>
        </w:rPr>
        <w:t>м</w:t>
      </w:r>
      <w:r w:rsidR="001E7FD3">
        <w:rPr>
          <w:sz w:val="28"/>
          <w:szCs w:val="28"/>
          <w:lang w:val="uk-UA"/>
        </w:rPr>
        <w:t>у</w:t>
      </w:r>
      <w:r w:rsidR="001E7FD3">
        <w:rPr>
          <w:sz w:val="28"/>
          <w:szCs w:val="28"/>
          <w:lang w:val="uk-UA"/>
        </w:rPr>
        <w:t>козит</w:t>
      </w:r>
      <w:r>
        <w:rPr>
          <w:sz w:val="28"/>
          <w:szCs w:val="28"/>
          <w:lang w:val="uk-UA"/>
        </w:rPr>
        <w:t>ом</w:t>
      </w:r>
      <w:r w:rsidR="006D1FE3" w:rsidRPr="0096673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Пошкодження міжклітинної речовини з</w:t>
      </w:r>
      <w:r w:rsidRPr="00B7168B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єднувальної тканини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ної п</w:t>
      </w:r>
      <w:r w:rsidR="003A6D05">
        <w:rPr>
          <w:sz w:val="28"/>
          <w:szCs w:val="28"/>
          <w:lang w:val="uk-UA"/>
        </w:rPr>
        <w:t xml:space="preserve">ластинки та підслизової основи </w:t>
      </w:r>
      <w:r>
        <w:rPr>
          <w:sz w:val="28"/>
          <w:szCs w:val="28"/>
          <w:lang w:val="uk-UA"/>
        </w:rPr>
        <w:t>з</w:t>
      </w:r>
      <w:r w:rsidR="003A6D0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зміною її властивостей сприяє підв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щенню проникненості судинної стінки та набряку тканини</w:t>
      </w:r>
      <w:r w:rsidR="006D1FE3" w:rsidRPr="00966737">
        <w:rPr>
          <w:sz w:val="28"/>
          <w:szCs w:val="28"/>
        </w:rPr>
        <w:t xml:space="preserve"> [201].</w:t>
      </w:r>
    </w:p>
    <w:p w:rsidR="006D1FE3" w:rsidRPr="007B7B10" w:rsidRDefault="00B7168B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Початкові клінічні прояви </w:t>
      </w:r>
      <w:r w:rsidR="001E7FD3">
        <w:rPr>
          <w:sz w:val="28"/>
          <w:szCs w:val="28"/>
          <w:lang w:val="uk-UA"/>
        </w:rPr>
        <w:t>мукозит</w:t>
      </w:r>
      <w:r>
        <w:rPr>
          <w:sz w:val="28"/>
          <w:szCs w:val="28"/>
          <w:lang w:val="uk-UA"/>
        </w:rPr>
        <w:t xml:space="preserve">у, що розвивається, </w:t>
      </w:r>
      <w:r w:rsidR="00571E69">
        <w:rPr>
          <w:sz w:val="28"/>
          <w:szCs w:val="28"/>
          <w:lang w:val="uk-UA"/>
        </w:rPr>
        <w:t>–</w:t>
      </w:r>
      <w:r w:rsidR="006D1FE3" w:rsidRPr="009667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ер</w:t>
      </w:r>
      <w:r w:rsidR="0019086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тема та 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бряклість </w:t>
      </w:r>
      <w:r w:rsidR="006D1FE3" w:rsidRPr="00966737">
        <w:rPr>
          <w:sz w:val="28"/>
          <w:szCs w:val="28"/>
        </w:rPr>
        <w:t xml:space="preserve">СОПР </w:t>
      </w:r>
      <w:r w:rsidR="00571E69">
        <w:rPr>
          <w:sz w:val="28"/>
          <w:szCs w:val="28"/>
          <w:lang w:val="uk-UA"/>
        </w:rPr>
        <w:t>–</w:t>
      </w:r>
      <w:r w:rsidR="006D1FE3" w:rsidRPr="00966737">
        <w:rPr>
          <w:sz w:val="28"/>
          <w:szCs w:val="28"/>
        </w:rPr>
        <w:t xml:space="preserve"> </w:t>
      </w:r>
      <w:r w:rsidR="0019086E">
        <w:rPr>
          <w:sz w:val="28"/>
          <w:szCs w:val="28"/>
          <w:lang w:val="uk-UA"/>
        </w:rPr>
        <w:t>відображ</w:t>
      </w:r>
      <w:r w:rsidR="003A6D05">
        <w:rPr>
          <w:sz w:val="28"/>
          <w:szCs w:val="28"/>
          <w:lang w:val="uk-UA"/>
        </w:rPr>
        <w:t>а</w:t>
      </w:r>
      <w:r w:rsidR="0019086E">
        <w:rPr>
          <w:sz w:val="28"/>
          <w:szCs w:val="28"/>
          <w:lang w:val="uk-UA"/>
        </w:rPr>
        <w:t>ють поєднані зміни мікросудин та навколишньої з</w:t>
      </w:r>
      <w:r w:rsidR="0019086E" w:rsidRPr="0019086E">
        <w:rPr>
          <w:sz w:val="28"/>
          <w:szCs w:val="28"/>
        </w:rPr>
        <w:t>'</w:t>
      </w:r>
      <w:r w:rsidR="0019086E">
        <w:rPr>
          <w:sz w:val="28"/>
          <w:szCs w:val="28"/>
          <w:lang w:val="uk-UA"/>
        </w:rPr>
        <w:t>єднувальної тканини власної пластинки</w:t>
      </w:r>
      <w:r w:rsidR="006D1FE3" w:rsidRPr="00966737">
        <w:rPr>
          <w:sz w:val="28"/>
          <w:szCs w:val="28"/>
        </w:rPr>
        <w:t>.</w:t>
      </w:r>
      <w:r w:rsidR="009E5672">
        <w:rPr>
          <w:sz w:val="28"/>
          <w:szCs w:val="28"/>
          <w:lang w:val="uk-UA"/>
        </w:rPr>
        <w:t xml:space="preserve"> </w:t>
      </w:r>
      <w:r w:rsidR="007B7B10">
        <w:rPr>
          <w:sz w:val="28"/>
          <w:szCs w:val="28"/>
          <w:lang w:val="uk-UA"/>
        </w:rPr>
        <w:t>При цьому еритема виникає вн</w:t>
      </w:r>
      <w:r w:rsidR="007B7B10">
        <w:rPr>
          <w:sz w:val="28"/>
          <w:szCs w:val="28"/>
          <w:lang w:val="uk-UA"/>
        </w:rPr>
        <w:t>а</w:t>
      </w:r>
      <w:r w:rsidR="007B7B10">
        <w:rPr>
          <w:sz w:val="28"/>
          <w:szCs w:val="28"/>
          <w:lang w:val="uk-UA"/>
        </w:rPr>
        <w:t>слідок розширення переповнених кров</w:t>
      </w:r>
      <w:r w:rsidR="007B7B10" w:rsidRPr="007B7B10">
        <w:rPr>
          <w:sz w:val="28"/>
          <w:szCs w:val="28"/>
          <w:lang w:val="uk-UA"/>
        </w:rPr>
        <w:t>'</w:t>
      </w:r>
      <w:r w:rsidR="007B7B10">
        <w:rPr>
          <w:sz w:val="28"/>
          <w:szCs w:val="28"/>
          <w:lang w:val="uk-UA"/>
        </w:rPr>
        <w:t>ю дрібних судин, які надають тканині колір, просвічу</w:t>
      </w:r>
      <w:r w:rsidR="003A6D05">
        <w:rPr>
          <w:sz w:val="28"/>
          <w:szCs w:val="28"/>
          <w:lang w:val="uk-UA"/>
        </w:rPr>
        <w:t>ючи через епітелій, що тоншає</w:t>
      </w:r>
      <w:r w:rsidR="006D1FE3" w:rsidRPr="007B7B10">
        <w:rPr>
          <w:sz w:val="28"/>
          <w:szCs w:val="28"/>
          <w:lang w:val="uk-UA"/>
        </w:rPr>
        <w:t>.</w:t>
      </w:r>
      <w:r w:rsidR="007B7B10">
        <w:rPr>
          <w:sz w:val="28"/>
          <w:szCs w:val="28"/>
          <w:lang w:val="uk-UA"/>
        </w:rPr>
        <w:t xml:space="preserve"> Набряклість розвивається </w:t>
      </w:r>
      <w:r w:rsidR="003A6D05">
        <w:rPr>
          <w:sz w:val="28"/>
          <w:szCs w:val="28"/>
          <w:lang w:val="uk-UA"/>
        </w:rPr>
        <w:t>в</w:t>
      </w:r>
      <w:r w:rsidR="007B7B10">
        <w:rPr>
          <w:sz w:val="28"/>
          <w:szCs w:val="28"/>
          <w:lang w:val="uk-UA"/>
        </w:rPr>
        <w:t xml:space="preserve"> результаті пошкодження ендотелію судин з </w:t>
      </w:r>
      <w:r w:rsidR="007B7B10" w:rsidRPr="00F667C4">
        <w:rPr>
          <w:sz w:val="28"/>
          <w:szCs w:val="28"/>
          <w:lang w:val="uk-UA"/>
        </w:rPr>
        <w:t>по</w:t>
      </w:r>
      <w:r w:rsidR="00F667C4" w:rsidRPr="00F667C4">
        <w:rPr>
          <w:sz w:val="28"/>
          <w:szCs w:val="28"/>
          <w:lang w:val="uk-UA"/>
        </w:rPr>
        <w:t>с</w:t>
      </w:r>
      <w:r w:rsidR="007B7B10" w:rsidRPr="00F667C4">
        <w:rPr>
          <w:sz w:val="28"/>
          <w:szCs w:val="28"/>
          <w:lang w:val="uk-UA"/>
        </w:rPr>
        <w:t>иленням</w:t>
      </w:r>
      <w:r w:rsidR="007B7B10">
        <w:rPr>
          <w:sz w:val="28"/>
          <w:szCs w:val="28"/>
          <w:lang w:val="uk-UA"/>
        </w:rPr>
        <w:t xml:space="preserve"> проникненості с</w:t>
      </w:r>
      <w:r w:rsidR="007B7B10">
        <w:rPr>
          <w:sz w:val="28"/>
          <w:szCs w:val="28"/>
          <w:lang w:val="uk-UA"/>
        </w:rPr>
        <w:t>у</w:t>
      </w:r>
      <w:r w:rsidR="007B7B10">
        <w:rPr>
          <w:sz w:val="28"/>
          <w:szCs w:val="28"/>
          <w:lang w:val="uk-UA"/>
        </w:rPr>
        <w:t>динної стінки та виділенням води та компонентів плазми з крові у гідрофіл</w:t>
      </w:r>
      <w:r w:rsidR="007B7B10">
        <w:rPr>
          <w:sz w:val="28"/>
          <w:szCs w:val="28"/>
          <w:lang w:val="uk-UA"/>
        </w:rPr>
        <w:t>ь</w:t>
      </w:r>
      <w:r w:rsidR="007B7B10">
        <w:rPr>
          <w:sz w:val="28"/>
          <w:szCs w:val="28"/>
          <w:lang w:val="uk-UA"/>
        </w:rPr>
        <w:t>ну основну речовину</w:t>
      </w:r>
      <w:r w:rsidR="006D1FE3" w:rsidRPr="007B7B10">
        <w:rPr>
          <w:sz w:val="28"/>
          <w:szCs w:val="28"/>
          <w:lang w:val="uk-UA"/>
        </w:rPr>
        <w:t>,</w:t>
      </w:r>
      <w:r w:rsidR="007B7B10">
        <w:rPr>
          <w:sz w:val="28"/>
          <w:szCs w:val="28"/>
          <w:lang w:val="uk-UA"/>
        </w:rPr>
        <w:t xml:space="preserve"> об</w:t>
      </w:r>
      <w:r w:rsidR="007B7B10" w:rsidRPr="007B7B10">
        <w:rPr>
          <w:sz w:val="28"/>
          <w:szCs w:val="28"/>
          <w:lang w:val="uk-UA"/>
        </w:rPr>
        <w:t>'</w:t>
      </w:r>
      <w:r w:rsidR="007B7B10">
        <w:rPr>
          <w:sz w:val="28"/>
          <w:szCs w:val="28"/>
          <w:lang w:val="uk-UA"/>
        </w:rPr>
        <w:t>єм якої при цьому різко зростає, викликає також п</w:t>
      </w:r>
      <w:r w:rsidR="007B7B10">
        <w:rPr>
          <w:sz w:val="28"/>
          <w:szCs w:val="28"/>
          <w:lang w:val="uk-UA"/>
        </w:rPr>
        <w:t>о</w:t>
      </w:r>
      <w:r w:rsidR="007B7B10">
        <w:rPr>
          <w:sz w:val="28"/>
          <w:szCs w:val="28"/>
          <w:lang w:val="uk-UA"/>
        </w:rPr>
        <w:t>силену експресію адгез</w:t>
      </w:r>
      <w:r w:rsidR="003A6D05">
        <w:rPr>
          <w:sz w:val="28"/>
          <w:szCs w:val="28"/>
          <w:lang w:val="uk-UA"/>
        </w:rPr>
        <w:t>и</w:t>
      </w:r>
      <w:r w:rsidR="007B7B10">
        <w:rPr>
          <w:sz w:val="28"/>
          <w:szCs w:val="28"/>
          <w:lang w:val="uk-UA"/>
        </w:rPr>
        <w:t>вних молекул</w:t>
      </w:r>
      <w:r w:rsidR="00F667C4">
        <w:rPr>
          <w:sz w:val="28"/>
          <w:szCs w:val="28"/>
          <w:lang w:val="uk-UA"/>
        </w:rPr>
        <w:t xml:space="preserve"> </w:t>
      </w:r>
      <w:r w:rsidR="006D1FE3" w:rsidRPr="007B7B10">
        <w:rPr>
          <w:sz w:val="28"/>
          <w:szCs w:val="28"/>
          <w:lang w:val="uk-UA" w:eastAsia="en-US"/>
        </w:rPr>
        <w:t>(</w:t>
      </w:r>
      <w:r w:rsidR="006D1FE3" w:rsidRPr="00966737">
        <w:rPr>
          <w:sz w:val="28"/>
          <w:szCs w:val="28"/>
          <w:lang w:eastAsia="en-US"/>
        </w:rPr>
        <w:t>ICAM</w:t>
      </w:r>
      <w:r w:rsidR="006D1FE3" w:rsidRPr="007B7B10">
        <w:rPr>
          <w:sz w:val="28"/>
          <w:szCs w:val="28"/>
          <w:lang w:val="uk-UA" w:eastAsia="en-US"/>
        </w:rPr>
        <w:t xml:space="preserve">-1 </w:t>
      </w:r>
      <w:r w:rsidR="007B7B10">
        <w:rPr>
          <w:sz w:val="28"/>
          <w:szCs w:val="28"/>
          <w:lang w:val="uk-UA" w:eastAsia="en-US"/>
        </w:rPr>
        <w:t>та</w:t>
      </w:r>
      <w:r w:rsidR="00F667C4">
        <w:rPr>
          <w:sz w:val="28"/>
          <w:szCs w:val="28"/>
          <w:lang w:val="uk-UA" w:eastAsia="en-US"/>
        </w:rPr>
        <w:t xml:space="preserve"> </w:t>
      </w:r>
      <w:r w:rsidR="006D1FE3" w:rsidRPr="00966737">
        <w:rPr>
          <w:sz w:val="28"/>
          <w:szCs w:val="28"/>
          <w:lang w:eastAsia="en-US"/>
        </w:rPr>
        <w:t>VCAM</w:t>
      </w:r>
      <w:r w:rsidR="006D1FE3" w:rsidRPr="007B7B10">
        <w:rPr>
          <w:sz w:val="28"/>
          <w:szCs w:val="28"/>
          <w:lang w:val="uk-UA" w:eastAsia="en-US"/>
        </w:rPr>
        <w:t xml:space="preserve">-1) </w:t>
      </w:r>
      <w:r w:rsidR="007B7B10">
        <w:rPr>
          <w:sz w:val="28"/>
          <w:szCs w:val="28"/>
          <w:lang w:val="uk-UA" w:eastAsia="en-US"/>
        </w:rPr>
        <w:t>клітинами енд</w:t>
      </w:r>
      <w:r w:rsidR="007B7B10">
        <w:rPr>
          <w:sz w:val="28"/>
          <w:szCs w:val="28"/>
          <w:lang w:val="uk-UA" w:eastAsia="en-US"/>
        </w:rPr>
        <w:t>о</w:t>
      </w:r>
      <w:r w:rsidR="007B7B10">
        <w:rPr>
          <w:sz w:val="28"/>
          <w:szCs w:val="28"/>
          <w:lang w:val="uk-UA" w:eastAsia="en-US"/>
        </w:rPr>
        <w:t>телі</w:t>
      </w:r>
      <w:r w:rsidR="003A6D05">
        <w:rPr>
          <w:sz w:val="28"/>
          <w:szCs w:val="28"/>
          <w:lang w:val="uk-UA" w:eastAsia="en-US"/>
        </w:rPr>
        <w:t>ю</w:t>
      </w:r>
      <w:r w:rsidR="007B7B10">
        <w:rPr>
          <w:sz w:val="28"/>
          <w:szCs w:val="28"/>
          <w:lang w:val="uk-UA" w:eastAsia="en-US"/>
        </w:rPr>
        <w:t xml:space="preserve"> мікросудин власної пластинки, що сприяє посиленій міграції лейкоц</w:t>
      </w:r>
      <w:r w:rsidR="007B7B10">
        <w:rPr>
          <w:sz w:val="28"/>
          <w:szCs w:val="28"/>
          <w:lang w:val="uk-UA" w:eastAsia="en-US"/>
        </w:rPr>
        <w:t>и</w:t>
      </w:r>
      <w:r w:rsidR="007B7B10">
        <w:rPr>
          <w:sz w:val="28"/>
          <w:szCs w:val="28"/>
          <w:lang w:val="uk-UA" w:eastAsia="en-US"/>
        </w:rPr>
        <w:t>тів з кров</w:t>
      </w:r>
      <w:r w:rsidR="003A6D05">
        <w:rPr>
          <w:sz w:val="28"/>
          <w:szCs w:val="28"/>
          <w:lang w:val="uk-UA" w:eastAsia="en-US"/>
        </w:rPr>
        <w:t>о</w:t>
      </w:r>
      <w:r w:rsidR="007B7B10">
        <w:rPr>
          <w:sz w:val="28"/>
          <w:szCs w:val="28"/>
          <w:lang w:val="uk-UA" w:eastAsia="en-US"/>
        </w:rPr>
        <w:t xml:space="preserve">носного </w:t>
      </w:r>
      <w:r w:rsidR="007B7B10">
        <w:rPr>
          <w:sz w:val="28"/>
          <w:szCs w:val="28"/>
          <w:lang w:val="uk-UA"/>
        </w:rPr>
        <w:t xml:space="preserve">русла у </w:t>
      </w:r>
      <w:r w:rsidR="006D1FE3" w:rsidRPr="007B7B10">
        <w:rPr>
          <w:sz w:val="28"/>
          <w:szCs w:val="28"/>
          <w:lang w:val="uk-UA"/>
        </w:rPr>
        <w:t xml:space="preserve">СОПР </w:t>
      </w:r>
      <w:r w:rsidR="007B7B10">
        <w:rPr>
          <w:sz w:val="28"/>
          <w:szCs w:val="28"/>
          <w:lang w:val="uk-UA"/>
        </w:rPr>
        <w:t>та розвитку запалення</w:t>
      </w:r>
      <w:r w:rsidR="006D1FE3" w:rsidRPr="007B7B10">
        <w:rPr>
          <w:sz w:val="28"/>
          <w:szCs w:val="28"/>
          <w:lang w:val="uk-UA"/>
        </w:rPr>
        <w:t>.</w:t>
      </w:r>
    </w:p>
    <w:p w:rsidR="006D1FE3" w:rsidRPr="007B7B10" w:rsidRDefault="007B7B10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 дані про те, що ендотелій дрібних кров</w:t>
      </w:r>
      <w:r w:rsidR="003A6D0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носних судин слизової оболонки служить найбільш ранньою мішенню цитотоксичного ефекту при </w:t>
      </w:r>
      <w:r w:rsidR="001E7FD3">
        <w:rPr>
          <w:sz w:val="28"/>
          <w:szCs w:val="28"/>
          <w:lang w:val="uk-UA"/>
        </w:rPr>
        <w:t>мукозит</w:t>
      </w:r>
      <w:r>
        <w:rPr>
          <w:sz w:val="28"/>
          <w:szCs w:val="28"/>
          <w:lang w:val="uk-UA"/>
        </w:rPr>
        <w:t>і, причому його пошкодження відбувається ще до появи будь-яких помітних гістологічних змін у покривному епітел</w:t>
      </w:r>
      <w:r w:rsidR="003A6D05">
        <w:rPr>
          <w:sz w:val="28"/>
          <w:szCs w:val="28"/>
          <w:lang w:val="uk-UA"/>
        </w:rPr>
        <w:t>ію</w:t>
      </w:r>
      <w:r w:rsidR="006D1FE3" w:rsidRPr="007B7B10">
        <w:rPr>
          <w:sz w:val="28"/>
          <w:szCs w:val="28"/>
          <w:lang w:val="uk-UA"/>
        </w:rPr>
        <w:t xml:space="preserve"> [202].</w:t>
      </w:r>
    </w:p>
    <w:p w:rsidR="006D1FE3" w:rsidRPr="007B7B10" w:rsidRDefault="007B7B10" w:rsidP="00E27DC6">
      <w:pPr>
        <w:pStyle w:val="a9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Гістологічно на моделі експериментального </w:t>
      </w:r>
      <w:r w:rsidR="001E7FD3">
        <w:rPr>
          <w:sz w:val="28"/>
          <w:szCs w:val="28"/>
          <w:lang w:val="uk-UA"/>
        </w:rPr>
        <w:t>мукозит</w:t>
      </w:r>
      <w:r>
        <w:rPr>
          <w:sz w:val="28"/>
          <w:szCs w:val="28"/>
          <w:lang w:val="uk-UA"/>
        </w:rPr>
        <w:t xml:space="preserve">у показано, що у ранній термін хіміотерапії капіляри у власній пластинці </w:t>
      </w:r>
      <w:r w:rsidR="006D1FE3" w:rsidRPr="007B7B10">
        <w:rPr>
          <w:sz w:val="28"/>
          <w:szCs w:val="28"/>
          <w:lang w:val="uk-UA"/>
        </w:rPr>
        <w:t xml:space="preserve">СОПР </w:t>
      </w:r>
      <w:r>
        <w:rPr>
          <w:sz w:val="28"/>
          <w:szCs w:val="28"/>
          <w:lang w:val="uk-UA"/>
        </w:rPr>
        <w:t>різко розш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рюються. Спочатку вони переповнені кров</w:t>
      </w:r>
      <w:r w:rsidRPr="007B7B10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ю, у подальшому виявляється а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гезія до їхньої стінки лейкоцитів, які, мігруючи </w:t>
      </w:r>
      <w:r w:rsidR="003A6D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навколишню тканину, ств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рюють запальний інфільтрат</w:t>
      </w:r>
      <w:r w:rsidR="006D1FE3" w:rsidRPr="007B7B10">
        <w:rPr>
          <w:sz w:val="28"/>
          <w:szCs w:val="28"/>
          <w:lang w:val="uk-UA"/>
        </w:rPr>
        <w:t xml:space="preserve"> [190]. </w:t>
      </w:r>
      <w:r>
        <w:rPr>
          <w:sz w:val="28"/>
          <w:szCs w:val="28"/>
          <w:lang w:val="uk-UA"/>
        </w:rPr>
        <w:t>Відбувається посилення проникненості дрібних судин, розвиток набряку з</w:t>
      </w:r>
      <w:r w:rsidRPr="003D0979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єднувальної тканини. Цьому сприяє також збільшення проникненості та гідрофільності основної речовини внаслідок деполімеризації </w:t>
      </w:r>
      <w:r w:rsidR="00D16C39">
        <w:rPr>
          <w:sz w:val="28"/>
          <w:szCs w:val="28"/>
          <w:lang w:val="uk-UA"/>
        </w:rPr>
        <w:t>її глікозаміногліканів</w:t>
      </w:r>
      <w:r w:rsidR="006D1FE3" w:rsidRPr="007B7B10">
        <w:rPr>
          <w:sz w:val="28"/>
          <w:szCs w:val="28"/>
          <w:lang w:val="uk-UA"/>
        </w:rPr>
        <w:t>.</w:t>
      </w:r>
    </w:p>
    <w:p w:rsidR="006D1FE3" w:rsidRPr="00966737" w:rsidRDefault="00D16C39" w:rsidP="00E27DC6">
      <w:pPr>
        <w:pStyle w:val="a9"/>
        <w:shd w:val="clear" w:color="auto" w:fill="auto"/>
        <w:spacing w:before="0" w:after="0"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Дані літератури, що була нами вивчена, дозволяють зробити висновок, що частота ускладнень з боку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>у пацієнтів з лейкозами при проведенні хіміотерапії дуже висока</w:t>
      </w:r>
      <w:r w:rsidR="006D1FE3" w:rsidRPr="00966737">
        <w:rPr>
          <w:sz w:val="28"/>
          <w:szCs w:val="28"/>
        </w:rPr>
        <w:t>.</w:t>
      </w:r>
    </w:p>
    <w:p w:rsidR="006D1FE3" w:rsidRPr="00A674E4" w:rsidRDefault="00D16C39" w:rsidP="00A674E4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Таким чином, не дивлячись на те, що поліхіміотерапія </w:t>
      </w:r>
      <w:r w:rsidR="003A6D05">
        <w:rPr>
          <w:sz w:val="28"/>
          <w:szCs w:val="28"/>
          <w:lang w:val="uk-UA"/>
        </w:rPr>
        <w:t>на сьогодні</w:t>
      </w:r>
      <w:r>
        <w:rPr>
          <w:sz w:val="28"/>
          <w:szCs w:val="28"/>
          <w:lang w:val="uk-UA"/>
        </w:rPr>
        <w:t xml:space="preserve"> є на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більш ефективним засобом впливу на перебіг лейкозів</w:t>
      </w:r>
      <w:r w:rsidR="006D1FE3" w:rsidRPr="0096673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вона має серйоз</w:t>
      </w:r>
      <w:r w:rsidR="003A6D05">
        <w:rPr>
          <w:sz w:val="28"/>
          <w:szCs w:val="28"/>
          <w:lang w:val="uk-UA"/>
        </w:rPr>
        <w:t xml:space="preserve">ний недолік – </w:t>
      </w:r>
      <w:r>
        <w:rPr>
          <w:sz w:val="28"/>
          <w:szCs w:val="28"/>
          <w:lang w:val="uk-UA"/>
        </w:rPr>
        <w:t>можливість токсичного впливу на організм, у тому числі й на сл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зову оболонку порожнини рота</w:t>
      </w:r>
      <w:r w:rsidR="006D1FE3" w:rsidRPr="00966737">
        <w:rPr>
          <w:sz w:val="28"/>
          <w:szCs w:val="28"/>
        </w:rPr>
        <w:t>.</w:t>
      </w:r>
    </w:p>
    <w:p w:rsidR="006D1FE3" w:rsidRPr="00966737" w:rsidRDefault="00F305FC" w:rsidP="00F305FC">
      <w:pPr>
        <w:pStyle w:val="a9"/>
        <w:shd w:val="clear" w:color="auto" w:fill="auto"/>
        <w:spacing w:before="0" w:after="0"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6D1FE3" w:rsidRPr="00966737">
        <w:rPr>
          <w:b/>
          <w:sz w:val="28"/>
          <w:szCs w:val="28"/>
        </w:rPr>
        <w:t xml:space="preserve">1.4. </w:t>
      </w:r>
      <w:r w:rsidR="005A4393">
        <w:rPr>
          <w:b/>
          <w:sz w:val="28"/>
          <w:szCs w:val="28"/>
          <w:lang w:val="uk-UA"/>
        </w:rPr>
        <w:t xml:space="preserve">Сучасні методи лікування уражень </w:t>
      </w:r>
      <w:r w:rsidR="006D1FE3" w:rsidRPr="00966737">
        <w:rPr>
          <w:b/>
          <w:sz w:val="28"/>
          <w:szCs w:val="28"/>
        </w:rPr>
        <w:t xml:space="preserve">СОПР </w:t>
      </w:r>
      <w:r w:rsidR="005A4393">
        <w:rPr>
          <w:b/>
          <w:sz w:val="28"/>
          <w:szCs w:val="28"/>
          <w:lang w:val="uk-UA"/>
        </w:rPr>
        <w:t xml:space="preserve">у дітей </w:t>
      </w:r>
      <w:r w:rsidR="0013556B">
        <w:rPr>
          <w:b/>
          <w:sz w:val="28"/>
          <w:szCs w:val="28"/>
          <w:lang w:val="uk-UA"/>
        </w:rPr>
        <w:t>і</w:t>
      </w:r>
      <w:r w:rsidR="005A4393">
        <w:rPr>
          <w:b/>
          <w:sz w:val="28"/>
          <w:szCs w:val="28"/>
          <w:lang w:val="uk-UA"/>
        </w:rPr>
        <w:t>з гострим лі</w:t>
      </w:r>
      <w:r w:rsidR="005A4393">
        <w:rPr>
          <w:b/>
          <w:sz w:val="28"/>
          <w:szCs w:val="28"/>
          <w:lang w:val="uk-UA"/>
        </w:rPr>
        <w:t>м</w:t>
      </w:r>
      <w:r w:rsidR="005A4393">
        <w:rPr>
          <w:b/>
          <w:sz w:val="28"/>
          <w:szCs w:val="28"/>
          <w:lang w:val="uk-UA"/>
        </w:rPr>
        <w:t>фобластним лейкозом</w:t>
      </w:r>
      <w:r w:rsidR="006D1FE3" w:rsidRPr="00966737">
        <w:rPr>
          <w:b/>
          <w:sz w:val="28"/>
          <w:szCs w:val="28"/>
        </w:rPr>
        <w:t>.</w:t>
      </w:r>
    </w:p>
    <w:p w:rsidR="006D1FE3" w:rsidRPr="005A4393" w:rsidRDefault="006D1FE3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  <w:lang w:val="uk-UA"/>
        </w:rPr>
      </w:pPr>
      <w:r w:rsidRPr="00966737">
        <w:rPr>
          <w:b/>
          <w:sz w:val="28"/>
          <w:szCs w:val="28"/>
        </w:rPr>
        <w:tab/>
      </w:r>
      <w:r w:rsidR="005A4393">
        <w:rPr>
          <w:sz w:val="28"/>
          <w:szCs w:val="28"/>
          <w:lang w:val="uk-UA"/>
        </w:rPr>
        <w:t>Проблема ускладнень антилейкозної терапії є на сьогодні дуже важл</w:t>
      </w:r>
      <w:r w:rsidR="005A4393">
        <w:rPr>
          <w:sz w:val="28"/>
          <w:szCs w:val="28"/>
          <w:lang w:val="uk-UA"/>
        </w:rPr>
        <w:t>и</w:t>
      </w:r>
      <w:r w:rsidR="005A4393">
        <w:rPr>
          <w:sz w:val="28"/>
          <w:szCs w:val="28"/>
          <w:lang w:val="uk-UA"/>
        </w:rPr>
        <w:t xml:space="preserve">вою. У ситуації, що склалася, роль лікаря-стоматолога </w:t>
      </w:r>
      <w:r w:rsidR="005604E1">
        <w:rPr>
          <w:sz w:val="28"/>
          <w:szCs w:val="28"/>
          <w:lang w:val="uk-UA"/>
        </w:rPr>
        <w:t>в</w:t>
      </w:r>
      <w:r w:rsidR="005A4393">
        <w:rPr>
          <w:sz w:val="28"/>
          <w:szCs w:val="28"/>
          <w:lang w:val="uk-UA"/>
        </w:rPr>
        <w:t xml:space="preserve"> процесі лікування хворих</w:t>
      </w:r>
      <w:r w:rsidR="00F305FC">
        <w:rPr>
          <w:sz w:val="28"/>
          <w:szCs w:val="28"/>
          <w:lang w:val="uk-UA"/>
        </w:rPr>
        <w:t xml:space="preserve"> на</w:t>
      </w:r>
      <w:r w:rsidR="005A4393">
        <w:rPr>
          <w:sz w:val="28"/>
          <w:szCs w:val="28"/>
          <w:lang w:val="uk-UA"/>
        </w:rPr>
        <w:t xml:space="preserve"> гостри</w:t>
      </w:r>
      <w:r w:rsidR="00F305FC">
        <w:rPr>
          <w:sz w:val="28"/>
          <w:szCs w:val="28"/>
          <w:lang w:val="uk-UA"/>
        </w:rPr>
        <w:t>й</w:t>
      </w:r>
      <w:r w:rsidR="005A4393">
        <w:rPr>
          <w:sz w:val="28"/>
          <w:szCs w:val="28"/>
          <w:lang w:val="uk-UA"/>
        </w:rPr>
        <w:t xml:space="preserve"> лімфобластни</w:t>
      </w:r>
      <w:r w:rsidR="00F305FC">
        <w:rPr>
          <w:sz w:val="28"/>
          <w:szCs w:val="28"/>
          <w:lang w:val="uk-UA"/>
        </w:rPr>
        <w:t>й лейкоз</w:t>
      </w:r>
      <w:r w:rsidR="005A4393">
        <w:rPr>
          <w:sz w:val="28"/>
          <w:szCs w:val="28"/>
          <w:lang w:val="uk-UA"/>
        </w:rPr>
        <w:t xml:space="preserve"> стає більш відповідальною. Здій</w:t>
      </w:r>
      <w:r w:rsidR="005A4393">
        <w:rPr>
          <w:sz w:val="28"/>
          <w:szCs w:val="28"/>
          <w:lang w:val="uk-UA"/>
        </w:rPr>
        <w:t>с</w:t>
      </w:r>
      <w:r w:rsidR="005A4393">
        <w:rPr>
          <w:sz w:val="28"/>
          <w:szCs w:val="28"/>
          <w:lang w:val="uk-UA"/>
        </w:rPr>
        <w:t xml:space="preserve">нюючи профілактику та лікування ускладнень, що виникають з боку </w:t>
      </w:r>
      <w:r w:rsidRPr="005A4393">
        <w:rPr>
          <w:sz w:val="28"/>
          <w:szCs w:val="28"/>
          <w:lang w:val="uk-UA"/>
        </w:rPr>
        <w:t>СОПР,</w:t>
      </w:r>
      <w:r w:rsidR="005A4393">
        <w:rPr>
          <w:sz w:val="28"/>
          <w:szCs w:val="28"/>
          <w:lang w:val="uk-UA"/>
        </w:rPr>
        <w:t xml:space="preserve"> він </w:t>
      </w:r>
      <w:r w:rsidR="00F305FC">
        <w:rPr>
          <w:sz w:val="28"/>
          <w:szCs w:val="28"/>
          <w:lang w:val="uk-UA"/>
        </w:rPr>
        <w:t>бере</w:t>
      </w:r>
      <w:r w:rsidR="005A4393">
        <w:rPr>
          <w:sz w:val="28"/>
          <w:szCs w:val="28"/>
          <w:lang w:val="uk-UA"/>
        </w:rPr>
        <w:t xml:space="preserve"> безпосередню участь у забезпеченні оптимальних умов для пров</w:t>
      </w:r>
      <w:r w:rsidR="005A4393">
        <w:rPr>
          <w:sz w:val="28"/>
          <w:szCs w:val="28"/>
          <w:lang w:val="uk-UA"/>
        </w:rPr>
        <w:t>е</w:t>
      </w:r>
      <w:r w:rsidR="005A4393">
        <w:rPr>
          <w:sz w:val="28"/>
          <w:szCs w:val="28"/>
          <w:lang w:val="uk-UA"/>
        </w:rPr>
        <w:t>дення ефективної антилейкозної терапії, а, отже, успіх специфічного лік</w:t>
      </w:r>
      <w:r w:rsidR="005A4393">
        <w:rPr>
          <w:sz w:val="28"/>
          <w:szCs w:val="28"/>
          <w:lang w:val="uk-UA"/>
        </w:rPr>
        <w:t>у</w:t>
      </w:r>
      <w:r w:rsidR="005A4393">
        <w:rPr>
          <w:sz w:val="28"/>
          <w:szCs w:val="28"/>
          <w:lang w:val="uk-UA"/>
        </w:rPr>
        <w:t>вання у певній мірі залежить також від його зусиль</w:t>
      </w:r>
      <w:r w:rsidRPr="005A4393">
        <w:rPr>
          <w:sz w:val="28"/>
          <w:szCs w:val="28"/>
          <w:lang w:val="uk-UA"/>
        </w:rPr>
        <w:t>.</w:t>
      </w:r>
    </w:p>
    <w:p w:rsidR="006D1FE3" w:rsidRPr="005A4393" w:rsidRDefault="005604E1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A4393">
        <w:rPr>
          <w:sz w:val="28"/>
          <w:szCs w:val="28"/>
          <w:lang w:val="uk-UA"/>
        </w:rPr>
        <w:t xml:space="preserve"> останнє десятиріччя питання лікування хіміотерапевтичних уражень СОПР стали актуальними у зв</w:t>
      </w:r>
      <w:r w:rsidR="005A4393" w:rsidRPr="005A4393">
        <w:rPr>
          <w:sz w:val="28"/>
          <w:szCs w:val="28"/>
          <w:lang w:val="uk-UA"/>
        </w:rPr>
        <w:t>'</w:t>
      </w:r>
      <w:r w:rsidR="005A4393">
        <w:rPr>
          <w:sz w:val="28"/>
          <w:szCs w:val="28"/>
          <w:lang w:val="uk-UA"/>
        </w:rPr>
        <w:t>язку із переходом на більш інтенсивні прогр</w:t>
      </w:r>
      <w:r w:rsidR="005A4393">
        <w:rPr>
          <w:sz w:val="28"/>
          <w:szCs w:val="28"/>
          <w:lang w:val="uk-UA"/>
        </w:rPr>
        <w:t>а</w:t>
      </w:r>
      <w:r w:rsidR="005A4393">
        <w:rPr>
          <w:sz w:val="28"/>
          <w:szCs w:val="28"/>
          <w:lang w:val="uk-UA"/>
        </w:rPr>
        <w:t>ми поліхіміотерапії для лікування гострого лімфобластного лейкоз</w:t>
      </w:r>
      <w:r>
        <w:rPr>
          <w:sz w:val="28"/>
          <w:szCs w:val="28"/>
          <w:lang w:val="uk-UA"/>
        </w:rPr>
        <w:t>у</w:t>
      </w:r>
      <w:r w:rsidR="005A4393">
        <w:rPr>
          <w:sz w:val="28"/>
          <w:szCs w:val="28"/>
          <w:lang w:val="uk-UA"/>
        </w:rPr>
        <w:t xml:space="preserve"> </w:t>
      </w:r>
      <w:r w:rsidR="00F305FC">
        <w:rPr>
          <w:sz w:val="28"/>
          <w:szCs w:val="28"/>
          <w:lang w:val="uk-UA"/>
        </w:rPr>
        <w:t>в</w:t>
      </w:r>
      <w:r w:rsidR="005A4393">
        <w:rPr>
          <w:sz w:val="28"/>
          <w:szCs w:val="28"/>
          <w:lang w:val="uk-UA"/>
        </w:rPr>
        <w:t xml:space="preserve"> дітей</w:t>
      </w:r>
      <w:r w:rsidR="006D1FE3" w:rsidRPr="005A4393">
        <w:rPr>
          <w:sz w:val="28"/>
          <w:szCs w:val="28"/>
          <w:lang w:val="uk-UA"/>
        </w:rPr>
        <w:t>.</w:t>
      </w:r>
    </w:p>
    <w:p w:rsidR="006D1FE3" w:rsidRPr="00F667C4" w:rsidRDefault="005A4393" w:rsidP="00F667C4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Етіопатогенетичним лікуванням хіміотерапевтичного стоматиту </w:t>
      </w:r>
      <w:r w:rsidR="00F305F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дітей з гострим лімфобластним лейкозом є своєчасна та адекватна корекція фарм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кодинаміки метотрексату фолієвою кислотою</w:t>
      </w:r>
      <w:r w:rsidR="006D1FE3" w:rsidRPr="005A4393">
        <w:rPr>
          <w:sz w:val="28"/>
          <w:szCs w:val="28"/>
          <w:lang w:val="uk-UA"/>
        </w:rPr>
        <w:t xml:space="preserve"> [203]. </w:t>
      </w:r>
      <w:r>
        <w:rPr>
          <w:sz w:val="28"/>
          <w:szCs w:val="28"/>
          <w:lang w:val="uk-UA"/>
        </w:rPr>
        <w:t>Симптоматичне лікува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зводять до застосування антисептичних, анальгезуючих та протизапальних засобів</w:t>
      </w:r>
      <w:r w:rsidR="006D1FE3" w:rsidRPr="00966737">
        <w:rPr>
          <w:sz w:val="28"/>
          <w:szCs w:val="28"/>
        </w:rPr>
        <w:t>.</w:t>
      </w:r>
    </w:p>
    <w:p w:rsidR="006D1FE3" w:rsidRPr="00966737" w:rsidRDefault="00E27414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Зрошення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 xml:space="preserve">содовим </w:t>
      </w:r>
      <w:r w:rsidR="006D1FE3" w:rsidRPr="00966737">
        <w:rPr>
          <w:sz w:val="28"/>
          <w:szCs w:val="28"/>
        </w:rPr>
        <w:t xml:space="preserve">0,1% </w:t>
      </w:r>
      <w:r>
        <w:rPr>
          <w:sz w:val="28"/>
          <w:szCs w:val="28"/>
          <w:lang w:val="uk-UA"/>
        </w:rPr>
        <w:t>розчином фолієвої кислоти через кожні 2 години призводили до заживлення виразок у пацієнтів протягом 3 тижнів</w:t>
      </w:r>
      <w:r w:rsidR="006D1FE3" w:rsidRPr="00966737">
        <w:rPr>
          <w:sz w:val="28"/>
          <w:szCs w:val="28"/>
        </w:rPr>
        <w:t xml:space="preserve"> [204]. </w:t>
      </w:r>
      <w:r>
        <w:rPr>
          <w:sz w:val="28"/>
          <w:szCs w:val="28"/>
          <w:lang w:val="uk-UA"/>
        </w:rPr>
        <w:t>Однак автори не наважуються говорити про істинну ефективність ць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 методу, оскільки вважа</w:t>
      </w:r>
      <w:r w:rsidR="00F667C4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свої дані неоднозначними</w:t>
      </w:r>
      <w:r w:rsidR="006D1FE3" w:rsidRPr="00966737">
        <w:rPr>
          <w:sz w:val="28"/>
          <w:szCs w:val="28"/>
        </w:rPr>
        <w:t>.</w:t>
      </w:r>
    </w:p>
    <w:p w:rsidR="006D1FE3" w:rsidRPr="00966737" w:rsidRDefault="00E27414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Більше </w:t>
      </w:r>
      <w:r w:rsidR="006D1FE3" w:rsidRPr="00966737">
        <w:rPr>
          <w:sz w:val="28"/>
          <w:szCs w:val="28"/>
        </w:rPr>
        <w:t xml:space="preserve">30-ти </w:t>
      </w:r>
      <w:r>
        <w:rPr>
          <w:sz w:val="28"/>
          <w:szCs w:val="28"/>
          <w:lang w:val="uk-UA"/>
        </w:rPr>
        <w:t xml:space="preserve">років тому для антисептичної обробки уражень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користовували </w:t>
      </w:r>
      <w:r w:rsidR="006D1FE3" w:rsidRPr="00966737">
        <w:rPr>
          <w:sz w:val="28"/>
          <w:szCs w:val="28"/>
        </w:rPr>
        <w:t xml:space="preserve">1,0% </w:t>
      </w:r>
      <w:r w:rsidR="00C80366">
        <w:rPr>
          <w:sz w:val="28"/>
          <w:szCs w:val="28"/>
          <w:lang w:val="uk-UA"/>
        </w:rPr>
        <w:t>водний розчин</w:t>
      </w:r>
      <w:r>
        <w:rPr>
          <w:sz w:val="28"/>
          <w:szCs w:val="28"/>
          <w:lang w:val="uk-UA"/>
        </w:rPr>
        <w:t xml:space="preserve"> метиленової сині</w:t>
      </w:r>
      <w:r w:rsidR="006D1FE3" w:rsidRPr="00966737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полоскання порожнини </w:t>
      </w:r>
      <w:r>
        <w:rPr>
          <w:sz w:val="28"/>
          <w:szCs w:val="28"/>
          <w:lang w:val="uk-UA"/>
        </w:rPr>
        <w:lastRenderedPageBreak/>
        <w:t xml:space="preserve">рота </w:t>
      </w:r>
      <w:r w:rsidR="006D1FE3" w:rsidRPr="00966737">
        <w:rPr>
          <w:sz w:val="28"/>
          <w:szCs w:val="28"/>
        </w:rPr>
        <w:t xml:space="preserve">1,0% </w:t>
      </w:r>
      <w:r>
        <w:rPr>
          <w:sz w:val="28"/>
          <w:szCs w:val="28"/>
          <w:lang w:val="uk-UA"/>
        </w:rPr>
        <w:t xml:space="preserve">розчином питної соди, протирання </w:t>
      </w:r>
      <w:r w:rsidR="006D1FE3" w:rsidRPr="00966737">
        <w:rPr>
          <w:sz w:val="28"/>
          <w:szCs w:val="28"/>
        </w:rPr>
        <w:t xml:space="preserve">СОПР </w:t>
      </w:r>
      <w:r>
        <w:rPr>
          <w:sz w:val="28"/>
          <w:szCs w:val="28"/>
          <w:lang w:val="uk-UA"/>
        </w:rPr>
        <w:t>розчином борнокислого натрію з гліцерином</w:t>
      </w:r>
      <w:r w:rsidR="006D1FE3" w:rsidRPr="00966737">
        <w:rPr>
          <w:sz w:val="28"/>
          <w:szCs w:val="28"/>
        </w:rPr>
        <w:t xml:space="preserve"> (3:30) .</w:t>
      </w:r>
    </w:p>
    <w:p w:rsidR="006D1FE3" w:rsidRPr="002C4FCA" w:rsidRDefault="00E27414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сьогоднішній день з антисептиків широке розповсюдження отримав хлоргексидин. Думки вчених суперечливі: одні автори у своїх дослідження</w:t>
      </w:r>
      <w:r w:rsidR="00653B04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говорять про неефективність хлоргекси</w:t>
      </w:r>
      <w:r w:rsidR="002C4FCA">
        <w:rPr>
          <w:sz w:val="28"/>
          <w:szCs w:val="28"/>
          <w:lang w:val="uk-UA"/>
        </w:rPr>
        <w:t>дину у пацієнтів, що отримували ц</w:t>
      </w:r>
      <w:r w:rsidR="002C4FCA">
        <w:rPr>
          <w:sz w:val="28"/>
          <w:szCs w:val="28"/>
          <w:lang w:val="uk-UA"/>
        </w:rPr>
        <w:t>и</w:t>
      </w:r>
      <w:r w:rsidR="002C4FCA">
        <w:rPr>
          <w:sz w:val="28"/>
          <w:szCs w:val="28"/>
          <w:lang w:val="uk-UA"/>
        </w:rPr>
        <w:t>тостатичну терапію, а інші від</w:t>
      </w:r>
      <w:r w:rsidR="00F305FC">
        <w:rPr>
          <w:sz w:val="28"/>
          <w:szCs w:val="28"/>
          <w:lang w:val="uk-UA"/>
        </w:rPr>
        <w:t>зна</w:t>
      </w:r>
      <w:r w:rsidR="002C4FCA">
        <w:rPr>
          <w:sz w:val="28"/>
          <w:szCs w:val="28"/>
          <w:lang w:val="uk-UA"/>
        </w:rPr>
        <w:t xml:space="preserve">чають деяке зменшення важкості стоматитів та зниження частоти </w:t>
      </w:r>
      <w:r w:rsidR="001E7FD3">
        <w:rPr>
          <w:sz w:val="28"/>
          <w:szCs w:val="28"/>
          <w:lang w:val="uk-UA"/>
        </w:rPr>
        <w:t>мукозит</w:t>
      </w:r>
      <w:r w:rsidR="002C4FCA">
        <w:rPr>
          <w:sz w:val="28"/>
          <w:szCs w:val="28"/>
          <w:lang w:val="uk-UA"/>
        </w:rPr>
        <w:t xml:space="preserve">ів при використанні </w:t>
      </w:r>
      <w:r w:rsidR="006D1FE3" w:rsidRPr="002C4FCA">
        <w:rPr>
          <w:sz w:val="28"/>
          <w:szCs w:val="28"/>
          <w:lang w:val="uk-UA"/>
        </w:rPr>
        <w:t xml:space="preserve">0,1% </w:t>
      </w:r>
      <w:r w:rsidR="002C4FCA">
        <w:rPr>
          <w:sz w:val="28"/>
          <w:szCs w:val="28"/>
          <w:lang w:val="uk-UA"/>
        </w:rPr>
        <w:t>розчину хлоргексид</w:t>
      </w:r>
      <w:r w:rsidR="002C4FCA">
        <w:rPr>
          <w:sz w:val="28"/>
          <w:szCs w:val="28"/>
          <w:lang w:val="uk-UA"/>
        </w:rPr>
        <w:t>и</w:t>
      </w:r>
      <w:r w:rsidR="002C4FCA">
        <w:rPr>
          <w:sz w:val="28"/>
          <w:szCs w:val="28"/>
          <w:lang w:val="uk-UA"/>
        </w:rPr>
        <w:t>ну</w:t>
      </w:r>
      <w:r w:rsidR="006D1FE3" w:rsidRPr="002C4FCA">
        <w:rPr>
          <w:sz w:val="28"/>
          <w:szCs w:val="28"/>
          <w:lang w:val="uk-UA"/>
        </w:rPr>
        <w:t xml:space="preserve"> [205].</w:t>
      </w:r>
    </w:p>
    <w:p w:rsidR="006D1FE3" w:rsidRPr="00966737" w:rsidRDefault="002C4FCA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Згідно</w:t>
      </w:r>
      <w:r w:rsidR="00F305FC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дани</w:t>
      </w:r>
      <w:r w:rsidR="00F305FC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літератури, з метою знеболювання використовуються</w:t>
      </w:r>
      <w:r w:rsidR="006D1FE3" w:rsidRPr="002C4FCA">
        <w:rPr>
          <w:sz w:val="28"/>
          <w:szCs w:val="28"/>
          <w:lang w:val="uk-UA"/>
        </w:rPr>
        <w:t xml:space="preserve">: 0,5% </w:t>
      </w:r>
      <w:r>
        <w:rPr>
          <w:sz w:val="28"/>
          <w:szCs w:val="28"/>
          <w:lang w:val="uk-UA"/>
        </w:rPr>
        <w:t>анастезинова мазь</w:t>
      </w:r>
      <w:r w:rsidR="00571E69">
        <w:rPr>
          <w:sz w:val="28"/>
          <w:szCs w:val="28"/>
          <w:lang w:val="uk-UA"/>
        </w:rPr>
        <w:t>,</w:t>
      </w:r>
      <w:r w:rsidR="006D1FE3" w:rsidRPr="002C4FCA">
        <w:rPr>
          <w:sz w:val="28"/>
          <w:szCs w:val="28"/>
          <w:lang w:val="uk-UA"/>
        </w:rPr>
        <w:t xml:space="preserve"> 0,5 </w:t>
      </w:r>
      <w:r>
        <w:rPr>
          <w:sz w:val="28"/>
          <w:szCs w:val="28"/>
          <w:lang w:val="uk-UA"/>
        </w:rPr>
        <w:t>та</w:t>
      </w:r>
      <w:r w:rsidR="006D1FE3" w:rsidRPr="002C4FCA">
        <w:rPr>
          <w:sz w:val="28"/>
          <w:szCs w:val="28"/>
          <w:lang w:val="uk-UA"/>
        </w:rPr>
        <w:t xml:space="preserve"> 1,0% </w:t>
      </w:r>
      <w:r>
        <w:rPr>
          <w:sz w:val="28"/>
          <w:szCs w:val="28"/>
          <w:lang w:val="uk-UA"/>
        </w:rPr>
        <w:t>розчини новокаїну для змазування сл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зової оболонки, аплікації розчинів анестетиків на ділянки ураження. Запр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понований метод лікування та знеболення виразок ін</w:t>
      </w:r>
      <w:r w:rsidRPr="002C4FCA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єкціями</w:t>
      </w:r>
      <w:r w:rsidR="006D1FE3" w:rsidRPr="00966737">
        <w:rPr>
          <w:sz w:val="28"/>
          <w:szCs w:val="28"/>
        </w:rPr>
        <w:t xml:space="preserve"> 0,5% </w:t>
      </w:r>
      <w:r>
        <w:rPr>
          <w:sz w:val="28"/>
          <w:szCs w:val="28"/>
          <w:lang w:val="uk-UA"/>
        </w:rPr>
        <w:t>та</w:t>
      </w:r>
      <w:r w:rsidR="006D1FE3" w:rsidRPr="00966737">
        <w:rPr>
          <w:sz w:val="28"/>
          <w:szCs w:val="28"/>
        </w:rPr>
        <w:t xml:space="preserve"> 1,0% </w:t>
      </w:r>
      <w:r>
        <w:rPr>
          <w:sz w:val="28"/>
          <w:szCs w:val="28"/>
          <w:lang w:val="uk-UA"/>
        </w:rPr>
        <w:t xml:space="preserve">розчинами новокаїну під основу виразки </w:t>
      </w:r>
      <w:r w:rsidR="006D1FE3" w:rsidRPr="00966737">
        <w:rPr>
          <w:sz w:val="28"/>
          <w:szCs w:val="28"/>
        </w:rPr>
        <w:t xml:space="preserve">[6, 10, 206]. </w:t>
      </w:r>
      <w:r>
        <w:rPr>
          <w:sz w:val="28"/>
          <w:szCs w:val="28"/>
          <w:lang w:val="uk-UA"/>
        </w:rPr>
        <w:t>Однак, на думку деяких авторів, він протипоказаний у хворих з лейкозами у звязку із проявом гем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рагічного діатезу</w:t>
      </w:r>
      <w:r w:rsidR="006D1FE3" w:rsidRPr="00966737">
        <w:rPr>
          <w:sz w:val="28"/>
          <w:szCs w:val="28"/>
        </w:rPr>
        <w:t xml:space="preserve">. </w:t>
      </w:r>
    </w:p>
    <w:p w:rsidR="006D1FE3" w:rsidRPr="00966737" w:rsidRDefault="002C4FCA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очищення виразково-некротичних поверхонь радять застосовувати препарати хемолітичної дії</w:t>
      </w:r>
      <w:r w:rsidR="00F667C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ферменти (тріпс</w:t>
      </w:r>
      <w:r w:rsidR="00F305F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н, хемотр</w:t>
      </w:r>
      <w:r w:rsidR="008B0B9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пс</w:t>
      </w:r>
      <w:r w:rsidR="008B0B9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н, хімопс</w:t>
      </w:r>
      <w:r w:rsidR="008B0B9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н) у вигляді аплікацій на уражені ділянки </w:t>
      </w:r>
      <w:r w:rsidR="006D1FE3" w:rsidRPr="00966737">
        <w:rPr>
          <w:sz w:val="28"/>
          <w:szCs w:val="28"/>
        </w:rPr>
        <w:t xml:space="preserve">СОПР. </w:t>
      </w:r>
      <w:r w:rsidR="00BC3F5A">
        <w:rPr>
          <w:sz w:val="28"/>
          <w:szCs w:val="28"/>
          <w:lang w:val="uk-UA"/>
        </w:rPr>
        <w:t>Після очищ</w:t>
      </w:r>
      <w:r>
        <w:rPr>
          <w:sz w:val="28"/>
          <w:szCs w:val="28"/>
          <w:lang w:val="uk-UA"/>
        </w:rPr>
        <w:t>ення виразкових утворень застосовують аплікації препаратів, що сприяють епітелізації діл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нок ураження (масло обліпихи, каротолін, </w:t>
      </w:r>
      <w:r w:rsidR="006D1FE3" w:rsidRPr="00966737">
        <w:rPr>
          <w:sz w:val="28"/>
          <w:szCs w:val="28"/>
        </w:rPr>
        <w:t xml:space="preserve">5,0% </w:t>
      </w:r>
      <w:r>
        <w:rPr>
          <w:sz w:val="28"/>
          <w:szCs w:val="28"/>
          <w:lang w:val="uk-UA"/>
        </w:rPr>
        <w:t>мет</w:t>
      </w:r>
      <w:r w:rsidR="00F667C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лурац</w:t>
      </w:r>
      <w:r w:rsidR="00F667C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лова мазь, солк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сер</w:t>
      </w:r>
      <w:r w:rsidR="008B0B9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л та ін.</w:t>
      </w:r>
      <w:r w:rsidR="006D1FE3" w:rsidRPr="00966737">
        <w:rPr>
          <w:sz w:val="28"/>
          <w:szCs w:val="28"/>
        </w:rPr>
        <w:t xml:space="preserve">). </w:t>
      </w:r>
      <w:r>
        <w:rPr>
          <w:sz w:val="28"/>
          <w:szCs w:val="28"/>
          <w:lang w:val="uk-UA"/>
        </w:rPr>
        <w:t xml:space="preserve">Від механічного видалення некрозів, особливо вологих, слід утримуватися, оскільки </w:t>
      </w:r>
      <w:r w:rsidR="008B0B9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цьому випадку можлива серйозна кровотеча</w:t>
      </w:r>
      <w:r w:rsidR="006D1FE3" w:rsidRPr="00966737">
        <w:rPr>
          <w:sz w:val="28"/>
          <w:szCs w:val="28"/>
        </w:rPr>
        <w:t xml:space="preserve"> [6, 10, 13, 14].</w:t>
      </w:r>
    </w:p>
    <w:p w:rsidR="006D1FE3" w:rsidRPr="00966737" w:rsidRDefault="005B109B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3F5A">
        <w:rPr>
          <w:sz w:val="28"/>
          <w:szCs w:val="28"/>
          <w:lang w:val="uk-UA"/>
        </w:rPr>
        <w:t xml:space="preserve">Місцеве лікування геморагій </w:t>
      </w:r>
      <w:r w:rsidR="006D1FE3" w:rsidRPr="00BC3F5A">
        <w:rPr>
          <w:sz w:val="28"/>
          <w:szCs w:val="28"/>
        </w:rPr>
        <w:t xml:space="preserve">СОПР </w:t>
      </w:r>
      <w:r w:rsidRPr="00BC3F5A">
        <w:rPr>
          <w:sz w:val="28"/>
          <w:szCs w:val="28"/>
          <w:lang w:val="uk-UA"/>
        </w:rPr>
        <w:t>доцільно починати з обережного зняття зубних відкладень, згладжування гострих країв зубів та ретельно</w:t>
      </w:r>
      <w:r w:rsidR="008B0B92">
        <w:rPr>
          <w:sz w:val="28"/>
          <w:szCs w:val="28"/>
          <w:lang w:val="uk-UA"/>
        </w:rPr>
        <w:t xml:space="preserve">го </w:t>
      </w:r>
      <w:r w:rsidRPr="00BC3F5A">
        <w:rPr>
          <w:sz w:val="28"/>
          <w:szCs w:val="28"/>
          <w:lang w:val="uk-UA"/>
        </w:rPr>
        <w:t>очи</w:t>
      </w:r>
      <w:r w:rsidR="008B0B92">
        <w:rPr>
          <w:sz w:val="28"/>
          <w:szCs w:val="28"/>
          <w:lang w:val="uk-UA"/>
        </w:rPr>
        <w:t>щення</w:t>
      </w:r>
      <w:r w:rsidRPr="00BC3F5A">
        <w:rPr>
          <w:sz w:val="28"/>
          <w:szCs w:val="28"/>
          <w:lang w:val="uk-UA"/>
        </w:rPr>
        <w:t xml:space="preserve"> міжзубних проміжків</w:t>
      </w:r>
      <w:r w:rsidR="006D1FE3" w:rsidRPr="00BC3F5A">
        <w:rPr>
          <w:sz w:val="28"/>
          <w:szCs w:val="28"/>
        </w:rPr>
        <w:t xml:space="preserve"> [207]. </w:t>
      </w:r>
      <w:r w:rsidRPr="00BC3F5A">
        <w:rPr>
          <w:sz w:val="28"/>
          <w:szCs w:val="28"/>
          <w:lang w:val="uk-UA"/>
        </w:rPr>
        <w:t>Ці заходи стають тим більш необхі</w:t>
      </w:r>
      <w:r w:rsidRPr="00BC3F5A">
        <w:rPr>
          <w:sz w:val="28"/>
          <w:szCs w:val="28"/>
          <w:lang w:val="uk-UA"/>
        </w:rPr>
        <w:t>д</w:t>
      </w:r>
      <w:r w:rsidRPr="00BC3F5A">
        <w:rPr>
          <w:sz w:val="28"/>
          <w:szCs w:val="28"/>
          <w:lang w:val="uk-UA"/>
        </w:rPr>
        <w:t xml:space="preserve">ними, що геморагії </w:t>
      </w:r>
      <w:r w:rsidR="008B0B92">
        <w:rPr>
          <w:sz w:val="28"/>
          <w:szCs w:val="28"/>
          <w:lang w:val="uk-UA"/>
        </w:rPr>
        <w:t>в</w:t>
      </w:r>
      <w:r w:rsidRPr="00BC3F5A">
        <w:rPr>
          <w:sz w:val="28"/>
          <w:szCs w:val="28"/>
          <w:lang w:val="uk-UA"/>
        </w:rPr>
        <w:t xml:space="preserve"> порожнині рота виключають використання зубно</w:t>
      </w:r>
      <w:r w:rsidR="00F667C4" w:rsidRPr="00BC3F5A">
        <w:rPr>
          <w:sz w:val="28"/>
          <w:szCs w:val="28"/>
          <w:lang w:val="uk-UA"/>
        </w:rPr>
        <w:t>ї</w:t>
      </w:r>
      <w:r w:rsidRPr="00BC3F5A">
        <w:rPr>
          <w:sz w:val="28"/>
          <w:szCs w:val="28"/>
          <w:lang w:val="uk-UA"/>
        </w:rPr>
        <w:t xml:space="preserve"> щітк</w:t>
      </w:r>
      <w:r w:rsidR="00F667C4" w:rsidRPr="00BC3F5A">
        <w:rPr>
          <w:sz w:val="28"/>
          <w:szCs w:val="28"/>
          <w:lang w:val="uk-UA"/>
        </w:rPr>
        <w:t>и</w:t>
      </w:r>
      <w:r w:rsidRPr="00BC3F5A">
        <w:rPr>
          <w:sz w:val="28"/>
          <w:szCs w:val="28"/>
          <w:lang w:val="uk-UA"/>
        </w:rPr>
        <w:t xml:space="preserve"> та жування твердої їжі</w:t>
      </w:r>
      <w:r w:rsidR="006D1FE3" w:rsidRPr="00BC3F5A">
        <w:rPr>
          <w:sz w:val="28"/>
          <w:szCs w:val="28"/>
        </w:rPr>
        <w:t>.</w:t>
      </w:r>
    </w:p>
    <w:p w:rsidR="006D1FE3" w:rsidRPr="00966737" w:rsidRDefault="00F76A84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Короткочасне послаблення кровоточивості ясен досягається застос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ванням тиску, холоду, аплікацій судинозвужуючих засобів (адреналіну, 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lastRenderedPageBreak/>
        <w:t>радреналіну</w:t>
      </w:r>
      <w:r w:rsidR="006D1FE3" w:rsidRPr="00966737">
        <w:rPr>
          <w:sz w:val="28"/>
          <w:szCs w:val="28"/>
        </w:rPr>
        <w:t xml:space="preserve">). </w:t>
      </w:r>
      <w:r>
        <w:rPr>
          <w:sz w:val="28"/>
          <w:szCs w:val="28"/>
          <w:lang w:val="uk-UA"/>
        </w:rPr>
        <w:t>У якості гемостатичних засобів місцевої дії застосовують гем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статичну та желатинову губки, тромбопластин, тромбін, розчини адраксона та амінокапронової кислоти у вигляді аплікацій, гемостатичну марлю для 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мпонади</w:t>
      </w:r>
      <w:r w:rsidR="006D1FE3" w:rsidRPr="00966737">
        <w:rPr>
          <w:sz w:val="28"/>
          <w:szCs w:val="28"/>
        </w:rPr>
        <w:t xml:space="preserve"> [1, 8, 10, 17].</w:t>
      </w:r>
    </w:p>
    <w:p w:rsidR="006D1FE3" w:rsidRPr="00966737" w:rsidRDefault="00F76A84" w:rsidP="00E27DC6">
      <w:pPr>
        <w:pStyle w:val="a9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дітей з гострими лейкеміями на фоні зниження активності імунітету, тривалої антибіотикотерапії, противопухлинної хіміотерапії та незадовільної гігієни порожнини рота часто зустрічається канд</w:t>
      </w:r>
      <w:r w:rsidR="00F667C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домікоз</w:t>
      </w:r>
      <w:r w:rsidR="006D1FE3" w:rsidRPr="00966737">
        <w:rPr>
          <w:sz w:val="28"/>
          <w:szCs w:val="28"/>
        </w:rPr>
        <w:t xml:space="preserve">. </w:t>
      </w:r>
    </w:p>
    <w:p w:rsidR="006D1FE3" w:rsidRPr="00F76A84" w:rsidRDefault="00F76A84" w:rsidP="00E27DC6">
      <w:pPr>
        <w:pStyle w:val="a9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З приводу застосування протигрибкових препаратів думки вчених 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кож розходяться. За</w:t>
      </w:r>
      <w:r w:rsidR="008B0B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деякими </w:t>
      </w:r>
      <w:r w:rsidR="008B0B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даними </w:t>
      </w:r>
      <w:r w:rsidR="008B0B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загальне лікування складається з пр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значення великих доз вітамінів </w:t>
      </w:r>
      <w:r w:rsidR="006D1FE3" w:rsidRPr="00F76A84">
        <w:rPr>
          <w:sz w:val="28"/>
          <w:szCs w:val="28"/>
          <w:lang w:val="uk-UA"/>
        </w:rPr>
        <w:t xml:space="preserve">С, А, РР, </w:t>
      </w:r>
      <w:r>
        <w:rPr>
          <w:sz w:val="28"/>
          <w:szCs w:val="28"/>
          <w:lang w:val="uk-UA"/>
        </w:rPr>
        <w:t xml:space="preserve">групи </w:t>
      </w:r>
      <w:r w:rsidR="006D1FE3" w:rsidRPr="00F76A84">
        <w:rPr>
          <w:sz w:val="28"/>
          <w:szCs w:val="28"/>
          <w:lang w:val="uk-UA"/>
        </w:rPr>
        <w:t>В</w:t>
      </w:r>
      <w:r w:rsidR="00F667C4">
        <w:rPr>
          <w:sz w:val="28"/>
          <w:szCs w:val="28"/>
          <w:lang w:val="uk-UA"/>
        </w:rPr>
        <w:t xml:space="preserve"> </w:t>
      </w:r>
      <w:r w:rsidR="006D1FE3" w:rsidRPr="00F76A84">
        <w:rPr>
          <w:sz w:val="28"/>
          <w:szCs w:val="28"/>
          <w:lang w:val="uk-UA"/>
        </w:rPr>
        <w:t xml:space="preserve">[208], </w:t>
      </w:r>
      <w:r>
        <w:rPr>
          <w:sz w:val="28"/>
          <w:szCs w:val="28"/>
          <w:lang w:val="uk-UA"/>
        </w:rPr>
        <w:t>призначення прот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грибкових антибіотиків</w:t>
      </w:r>
      <w:r w:rsidR="006D1FE3" w:rsidRPr="00F76A8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ністатину, леворину, клотримазолу, флюконазолу</w:t>
      </w:r>
      <w:r w:rsidR="006D1FE3" w:rsidRPr="00F76A8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Для місцевого лікування використовують полоскання розчином н</w:t>
      </w:r>
      <w:r w:rsidR="00F667C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статину, с</w:t>
      </w:r>
      <w:r w:rsidR="008B0B92">
        <w:rPr>
          <w:sz w:val="28"/>
          <w:szCs w:val="28"/>
          <w:lang w:val="uk-UA"/>
        </w:rPr>
        <w:t>мокта</w:t>
      </w:r>
      <w:r>
        <w:rPr>
          <w:sz w:val="28"/>
          <w:szCs w:val="28"/>
          <w:lang w:val="uk-UA"/>
        </w:rPr>
        <w:t xml:space="preserve">ння таблеток ністатину, розчин </w:t>
      </w:r>
      <w:r w:rsidR="00F667C4">
        <w:rPr>
          <w:sz w:val="28"/>
          <w:szCs w:val="28"/>
          <w:lang w:val="uk-UA"/>
        </w:rPr>
        <w:t>Люголя</w:t>
      </w:r>
      <w:r w:rsidR="006D1FE3" w:rsidRPr="00F76A84">
        <w:rPr>
          <w:sz w:val="28"/>
          <w:szCs w:val="28"/>
          <w:lang w:val="uk-UA"/>
        </w:rPr>
        <w:t xml:space="preserve"> 20% </w:t>
      </w:r>
      <w:r w:rsidR="006D1FE3" w:rsidRPr="00F667C4">
        <w:rPr>
          <w:sz w:val="28"/>
          <w:szCs w:val="28"/>
          <w:lang w:val="uk-UA"/>
        </w:rPr>
        <w:t xml:space="preserve">[209-210]. </w:t>
      </w:r>
      <w:r>
        <w:rPr>
          <w:sz w:val="28"/>
          <w:szCs w:val="28"/>
          <w:lang w:val="uk-UA"/>
        </w:rPr>
        <w:t>Інші автори вважають, що використання ністатину для п</w:t>
      </w:r>
      <w:r w:rsidR="008B0B92">
        <w:rPr>
          <w:sz w:val="28"/>
          <w:szCs w:val="28"/>
          <w:lang w:val="uk-UA"/>
        </w:rPr>
        <w:t xml:space="preserve">ригнічення </w:t>
      </w:r>
      <w:r>
        <w:rPr>
          <w:sz w:val="28"/>
          <w:szCs w:val="28"/>
          <w:lang w:val="uk-UA"/>
        </w:rPr>
        <w:t>росту колоній та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передження фунгемії є неефективним методом</w:t>
      </w:r>
      <w:r w:rsidR="006D1FE3" w:rsidRPr="00966737">
        <w:rPr>
          <w:sz w:val="28"/>
          <w:szCs w:val="28"/>
        </w:rPr>
        <w:t xml:space="preserve"> [211-212]. </w:t>
      </w:r>
      <w:r>
        <w:rPr>
          <w:sz w:val="28"/>
          <w:szCs w:val="28"/>
          <w:lang w:val="uk-UA"/>
        </w:rPr>
        <w:t>Так, канд</w:t>
      </w:r>
      <w:r w:rsidR="00F667C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достом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тит у дітей з лейкозом розвивався на фоні ністатину не тільки рідше, але 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віть частіше, ніж поза ністатин-профілактикою</w:t>
      </w:r>
      <w:r w:rsidR="006D1FE3" w:rsidRPr="00966737">
        <w:rPr>
          <w:sz w:val="28"/>
          <w:szCs w:val="28"/>
        </w:rPr>
        <w:t xml:space="preserve"> [213]. </w:t>
      </w:r>
      <w:r>
        <w:rPr>
          <w:sz w:val="28"/>
          <w:szCs w:val="28"/>
          <w:lang w:val="uk-UA"/>
        </w:rPr>
        <w:t xml:space="preserve">Автор відмічає </w:t>
      </w:r>
      <w:r w:rsidR="008B0B92">
        <w:rPr>
          <w:sz w:val="28"/>
          <w:szCs w:val="28"/>
          <w:lang w:val="uk-UA"/>
        </w:rPr>
        <w:t>хороші</w:t>
      </w:r>
      <w:r>
        <w:rPr>
          <w:sz w:val="28"/>
          <w:szCs w:val="28"/>
          <w:lang w:val="uk-UA"/>
        </w:rPr>
        <w:t xml:space="preserve"> результати при застосуванн</w:t>
      </w:r>
      <w:r w:rsidR="00C762F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нізорал</w:t>
      </w:r>
      <w:r w:rsidR="008B0B9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який у шість разів ефективніший за ністатин</w:t>
      </w:r>
      <w:r w:rsidR="006D1FE3" w:rsidRPr="009667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Обговорюється можливість використання міконазолу, клотримаз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лу та кетоконазолу, що дали клінічний ефект у </w:t>
      </w:r>
      <w:r w:rsidR="006D1FE3" w:rsidRPr="00F76A84">
        <w:rPr>
          <w:sz w:val="28"/>
          <w:szCs w:val="28"/>
          <w:lang w:val="uk-UA"/>
        </w:rPr>
        <w:t xml:space="preserve">42-50% </w:t>
      </w:r>
      <w:r>
        <w:rPr>
          <w:sz w:val="28"/>
          <w:szCs w:val="28"/>
          <w:lang w:val="uk-UA"/>
        </w:rPr>
        <w:t>хворих</w:t>
      </w:r>
      <w:r w:rsidR="008B0B92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="00797B32">
        <w:rPr>
          <w:sz w:val="28"/>
          <w:szCs w:val="28"/>
          <w:lang w:val="uk-UA"/>
        </w:rPr>
        <w:t>кандидоз</w:t>
      </w:r>
      <w:r>
        <w:rPr>
          <w:sz w:val="28"/>
          <w:szCs w:val="28"/>
          <w:lang w:val="uk-UA"/>
        </w:rPr>
        <w:t xml:space="preserve"> на фоні цитостатичної терапії лейкозу</w:t>
      </w:r>
      <w:r w:rsidR="006D1FE3" w:rsidRPr="00F76A84">
        <w:rPr>
          <w:sz w:val="28"/>
          <w:szCs w:val="28"/>
          <w:lang w:val="uk-UA"/>
        </w:rPr>
        <w:t xml:space="preserve"> [209-214].</w:t>
      </w:r>
    </w:p>
    <w:p w:rsidR="006D1FE3" w:rsidRPr="00DB7A08" w:rsidRDefault="008B0B92" w:rsidP="008B0B92">
      <w:pPr>
        <w:pStyle w:val="51"/>
        <w:shd w:val="clear" w:color="auto" w:fill="auto"/>
        <w:spacing w:before="0" w:line="360" w:lineRule="auto"/>
        <w:ind w:firstLine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</w:t>
      </w:r>
      <w:r w:rsidR="00DB7A08">
        <w:rPr>
          <w:b w:val="0"/>
          <w:sz w:val="28"/>
          <w:szCs w:val="28"/>
          <w:lang w:val="uk-UA"/>
        </w:rPr>
        <w:t>Таким чином, з пи</w:t>
      </w:r>
      <w:r w:rsidR="00BB07F8">
        <w:rPr>
          <w:b w:val="0"/>
          <w:sz w:val="28"/>
          <w:szCs w:val="28"/>
          <w:lang w:val="uk-UA"/>
        </w:rPr>
        <w:t>тань лікування стоматитів у хвор</w:t>
      </w:r>
      <w:r w:rsidR="00DB7A08">
        <w:rPr>
          <w:b w:val="0"/>
          <w:sz w:val="28"/>
          <w:szCs w:val="28"/>
          <w:lang w:val="uk-UA"/>
        </w:rPr>
        <w:t>их</w:t>
      </w:r>
      <w:r>
        <w:rPr>
          <w:b w:val="0"/>
          <w:sz w:val="28"/>
          <w:szCs w:val="28"/>
          <w:lang w:val="uk-UA"/>
        </w:rPr>
        <w:t xml:space="preserve"> на</w:t>
      </w:r>
      <w:r w:rsidR="00DB7A08">
        <w:rPr>
          <w:b w:val="0"/>
          <w:sz w:val="28"/>
          <w:szCs w:val="28"/>
          <w:lang w:val="uk-UA"/>
        </w:rPr>
        <w:t xml:space="preserve"> гостри</w:t>
      </w:r>
      <w:r>
        <w:rPr>
          <w:b w:val="0"/>
          <w:sz w:val="28"/>
          <w:szCs w:val="28"/>
          <w:lang w:val="uk-UA"/>
        </w:rPr>
        <w:t>й</w:t>
      </w:r>
      <w:r w:rsidR="00DB7A08">
        <w:rPr>
          <w:b w:val="0"/>
          <w:sz w:val="28"/>
          <w:szCs w:val="28"/>
          <w:lang w:val="uk-UA"/>
        </w:rPr>
        <w:t xml:space="preserve"> лімфо</w:t>
      </w:r>
      <w:r w:rsidR="00DB7A08">
        <w:rPr>
          <w:b w:val="0"/>
          <w:sz w:val="28"/>
          <w:szCs w:val="28"/>
          <w:lang w:val="uk-UA"/>
        </w:rPr>
        <w:t>б</w:t>
      </w:r>
      <w:r w:rsidR="00DB7A08">
        <w:rPr>
          <w:b w:val="0"/>
          <w:sz w:val="28"/>
          <w:szCs w:val="28"/>
          <w:lang w:val="uk-UA"/>
        </w:rPr>
        <w:t>ластни</w:t>
      </w:r>
      <w:r>
        <w:rPr>
          <w:b w:val="0"/>
          <w:sz w:val="28"/>
          <w:szCs w:val="28"/>
          <w:lang w:val="uk-UA"/>
        </w:rPr>
        <w:t>й</w:t>
      </w:r>
      <w:r w:rsidR="00DB7A08">
        <w:rPr>
          <w:b w:val="0"/>
          <w:sz w:val="28"/>
          <w:szCs w:val="28"/>
          <w:lang w:val="uk-UA"/>
        </w:rPr>
        <w:t xml:space="preserve"> лейкоз, що піддаються хіміотерапії, є багато суперечливих моментів, що дозволяють зробити висновок про те, що розробка найбільш ефективних підходів до профілактики та лікування ускладнень на </w:t>
      </w:r>
      <w:r w:rsidR="006D1FE3" w:rsidRPr="00DB7A08">
        <w:rPr>
          <w:b w:val="0"/>
          <w:sz w:val="28"/>
          <w:szCs w:val="28"/>
          <w:lang w:val="uk-UA"/>
        </w:rPr>
        <w:t xml:space="preserve">СОПР </w:t>
      </w:r>
      <w:r w:rsidR="00DB7A08">
        <w:rPr>
          <w:b w:val="0"/>
          <w:sz w:val="28"/>
          <w:szCs w:val="28"/>
          <w:lang w:val="uk-UA"/>
        </w:rPr>
        <w:t>залишається а</w:t>
      </w:r>
      <w:r w:rsidR="00DB7A08">
        <w:rPr>
          <w:b w:val="0"/>
          <w:sz w:val="28"/>
          <w:szCs w:val="28"/>
          <w:lang w:val="uk-UA"/>
        </w:rPr>
        <w:t>к</w:t>
      </w:r>
      <w:r w:rsidR="00DB7A08">
        <w:rPr>
          <w:b w:val="0"/>
          <w:sz w:val="28"/>
          <w:szCs w:val="28"/>
          <w:lang w:val="uk-UA"/>
        </w:rPr>
        <w:t>туальним завданням</w:t>
      </w:r>
      <w:r w:rsidR="006D1FE3" w:rsidRPr="00DB7A08">
        <w:rPr>
          <w:b w:val="0"/>
          <w:sz w:val="28"/>
          <w:szCs w:val="28"/>
          <w:lang w:val="uk-UA"/>
        </w:rPr>
        <w:t>.</w:t>
      </w:r>
    </w:p>
    <w:p w:rsidR="006D1FE3" w:rsidRPr="00966737" w:rsidRDefault="00DB7A08" w:rsidP="00E27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Нераціональне використання багатьо</w:t>
      </w:r>
      <w:r w:rsidR="00F667C4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препаратів, рекомендованих для лікування захворювань СОПР, може негативно впливати </w:t>
      </w:r>
      <w:r w:rsidRPr="0091093E">
        <w:rPr>
          <w:rFonts w:ascii="Times New Roman" w:hAnsi="Times New Roman" w:cs="Times New Roman"/>
          <w:sz w:val="28"/>
          <w:szCs w:val="28"/>
          <w:lang w:val="uk-UA"/>
        </w:rPr>
        <w:t>на облігатних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ставників аутофлори порожнини рота та місцеві фактори антибактеріального захисту. У зв</w:t>
      </w:r>
      <w:r w:rsidR="0091093E" w:rsidRPr="009109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цим перспективним напрямком у лікуванн</w:t>
      </w:r>
      <w:r w:rsidR="009109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</w:t>
      </w:r>
      <w:r w:rsidR="006D1FE3" w:rsidRPr="00966737">
        <w:rPr>
          <w:rFonts w:ascii="Times New Roman" w:hAnsi="Times New Roman" w:cs="Times New Roman"/>
          <w:sz w:val="28"/>
          <w:szCs w:val="28"/>
        </w:rPr>
        <w:lastRenderedPageBreak/>
        <w:t xml:space="preserve">СОПР </w:t>
      </w:r>
      <w:r>
        <w:rPr>
          <w:rFonts w:ascii="Times New Roman" w:hAnsi="Times New Roman" w:cs="Times New Roman"/>
          <w:sz w:val="28"/>
          <w:szCs w:val="28"/>
          <w:lang w:val="uk-UA"/>
        </w:rPr>
        <w:t>у дітей з гострим лімфобластним лейкозом стало використання проб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отиків, діючими компонентами яких є штами представників нормальної мі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рофлори з високими антагоністичними, ферментативними та імуностимул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ючими властивостями</w:t>
      </w:r>
      <w:r w:rsidR="00F6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FE3" w:rsidRPr="00966737">
        <w:rPr>
          <w:rFonts w:ascii="Times New Roman" w:hAnsi="Times New Roman" w:cs="Times New Roman"/>
          <w:sz w:val="28"/>
          <w:szCs w:val="28"/>
        </w:rPr>
        <w:t xml:space="preserve">[215-220]. </w:t>
      </w:r>
    </w:p>
    <w:p w:rsidR="006D1FE3" w:rsidRPr="00966737" w:rsidRDefault="00DB7A08" w:rsidP="00E27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Останнім часом добре зарекомендували себе для лікування захвор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вань </w:t>
      </w:r>
      <w:r w:rsidR="006D1FE3" w:rsidRPr="00966737">
        <w:rPr>
          <w:rFonts w:ascii="Times New Roman" w:hAnsi="Times New Roman" w:cs="Times New Roman"/>
          <w:sz w:val="28"/>
          <w:szCs w:val="28"/>
        </w:rPr>
        <w:t xml:space="preserve">СОПР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кверцетин, що має </w:t>
      </w:r>
      <w:r w:rsidR="0091093E" w:rsidRPr="0091093E">
        <w:rPr>
          <w:rFonts w:ascii="Times New Roman" w:hAnsi="Times New Roman" w:cs="Times New Roman"/>
          <w:sz w:val="28"/>
          <w:szCs w:val="28"/>
          <w:lang w:val="uk-UA"/>
        </w:rPr>
        <w:t>ангіопро</w:t>
      </w:r>
      <w:r w:rsidRPr="009109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1093E" w:rsidRPr="0091093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109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1093E" w:rsidRPr="0091093E">
        <w:rPr>
          <w:rFonts w:ascii="Times New Roman" w:hAnsi="Times New Roman" w:cs="Times New Roman"/>
          <w:sz w:val="28"/>
          <w:szCs w:val="28"/>
          <w:lang w:val="uk-UA"/>
        </w:rPr>
        <w:t>тор</w:t>
      </w:r>
      <w:r w:rsidRPr="0091093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1093E" w:rsidRPr="0091093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антиоксидантн</w:t>
      </w:r>
      <w:r w:rsidR="0091093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запальн</w:t>
      </w:r>
      <w:r w:rsidR="0091093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дію, та пробіотик інулін, який стимулює р</w:t>
      </w:r>
      <w:r w:rsidR="008B0B9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 пробіотичної мікро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лори і тим самим усуває прояви дисбіозу</w:t>
      </w:r>
      <w:r w:rsidR="006D1FE3" w:rsidRPr="009667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довів свою високу ефекти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ність гель Квертулін </w:t>
      </w:r>
      <w:r w:rsidR="006D1FE3" w:rsidRPr="0096673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препарат, який містить кверцетин, інулін та цитрат кальцію</w:t>
      </w:r>
      <w:r w:rsidR="006D1FE3" w:rsidRPr="00966737">
        <w:rPr>
          <w:rFonts w:ascii="Times New Roman" w:hAnsi="Times New Roman" w:cs="Times New Roman"/>
          <w:sz w:val="28"/>
          <w:szCs w:val="28"/>
        </w:rPr>
        <w:t xml:space="preserve"> [221-223].</w:t>
      </w:r>
    </w:p>
    <w:p w:rsidR="006D1FE3" w:rsidRPr="00966737" w:rsidRDefault="008B0B92" w:rsidP="00E27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B95E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ґ</w:t>
      </w:r>
      <w:r w:rsidR="00DB7A08">
        <w:rPr>
          <w:rFonts w:ascii="Times New Roman" w:hAnsi="Times New Roman" w:cs="Times New Roman"/>
          <w:sz w:val="28"/>
          <w:szCs w:val="28"/>
          <w:lang w:val="uk-UA"/>
        </w:rPr>
        <w:t xml:space="preserve">рунтованим є використання препаратів, які нормалізують систему мікроциркуляції слизової оболонки порожнини рота, </w:t>
      </w:r>
      <w:r w:rsidR="00AF2365">
        <w:rPr>
          <w:rFonts w:ascii="Times New Roman" w:hAnsi="Times New Roman" w:cs="Times New Roman"/>
          <w:sz w:val="28"/>
          <w:szCs w:val="28"/>
        </w:rPr>
        <w:t>- Трентал, Катомас</w:t>
      </w:r>
      <w:r w:rsidR="006D1FE3" w:rsidRPr="00966737">
        <w:rPr>
          <w:rFonts w:ascii="Times New Roman" w:hAnsi="Times New Roman" w:cs="Times New Roman"/>
          <w:sz w:val="28"/>
          <w:szCs w:val="28"/>
        </w:rPr>
        <w:t xml:space="preserve"> [224-225]. </w:t>
      </w:r>
    </w:p>
    <w:p w:rsidR="006D1FE3" w:rsidRPr="00966737" w:rsidRDefault="00DB7A08" w:rsidP="00E27DC6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Таким чином, на підставі інформації, що наявна у вітчизняній та іноз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мній літературі з питання, що вивчається, стає очевидною та знач</w:t>
      </w:r>
      <w:r w:rsidR="00B155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ущою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хідність поглибленого обстеження стану слизової оболонки порожнини рота </w:t>
      </w:r>
      <w:r w:rsidR="00571E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 із гострим лімфобластним лейкозом.</w:t>
      </w:r>
    </w:p>
    <w:p w:rsidR="006D1FE3" w:rsidRPr="00966737" w:rsidRDefault="00DB7A08" w:rsidP="00E27DC6">
      <w:pPr>
        <w:pStyle w:val="a9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Суперечливість даних, що наводяться, та низька ефективність традиці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но застосовуваних медикаментозних засобів лікування хіміотерапевтичних ускладнень у порожнині рота </w:t>
      </w:r>
      <w:r w:rsidR="00B1553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дітей з ГЛЛ визначила необхідність пошуку нових методів лікування</w:t>
      </w:r>
      <w:r w:rsidR="006D1FE3" w:rsidRPr="00966737">
        <w:rPr>
          <w:sz w:val="28"/>
          <w:szCs w:val="28"/>
        </w:rPr>
        <w:t>.</w:t>
      </w:r>
    </w:p>
    <w:p w:rsidR="00DB7A08" w:rsidRPr="00DB7A08" w:rsidRDefault="00DB7A08" w:rsidP="00AF2365">
      <w:pPr>
        <w:pStyle w:val="51"/>
        <w:shd w:val="clear" w:color="auto" w:fill="auto"/>
        <w:spacing w:before="0" w:line="360" w:lineRule="auto"/>
        <w:ind w:firstLine="0"/>
        <w:rPr>
          <w:b w:val="0"/>
          <w:sz w:val="28"/>
          <w:lang w:val="uk-UA"/>
        </w:rPr>
      </w:pPr>
    </w:p>
    <w:p w:rsidR="00C35629" w:rsidRDefault="00C3562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E27DC6" w:rsidRPr="00392D7B" w:rsidRDefault="00DB7A08" w:rsidP="00E27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</w:t>
      </w:r>
      <w:r w:rsidR="00E27DC6" w:rsidRPr="00392D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:rsidR="00E27DC6" w:rsidRDefault="00DB7A08" w:rsidP="00A674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МАТЕРІАЛИ ТА МЕТОДИ ДОСЛІДЖЕННЯ</w:t>
      </w:r>
    </w:p>
    <w:p w:rsidR="00A674E4" w:rsidRPr="00392D7B" w:rsidRDefault="00A674E4" w:rsidP="00A674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7DC6" w:rsidRPr="00392D7B" w:rsidRDefault="00E27DC6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2D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2.1.    </w:t>
      </w:r>
      <w:r w:rsidR="00DB7A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Дизайн дослідження</w:t>
      </w:r>
      <w:r w:rsidRPr="00392D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E27DC6" w:rsidRPr="003D0979" w:rsidRDefault="00392D7B" w:rsidP="00E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>У сучасній стоматології вирішен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 питань відносно профілактики та лікування проявів на слизовій оболонці порожнини рота при різних систе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>них захворюваннях у дітей, у тому числі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гострих лімфобластних лейк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>зах</w:t>
      </w:r>
      <w:r w:rsidR="00E27DC6" w:rsidRPr="00392D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Однак існують додаткові причини, які негативно впливають на ефекти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>ну реалізацію лікувально-профілактичних</w:t>
      </w:r>
      <w:r w:rsidR="00576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заходів, і до них, у першу черг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>у, віднос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>ться поява нових видів протокольного лікування хіміотерапією, що суттєво знижує резерви клітинного, гуморального, специфічного та неспец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фічного імунітету 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DB7A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дітей. Дослідженнями різних авторів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</w:t>
      </w:r>
      <w:r w:rsidR="007A7F55" w:rsidRPr="007A7F55">
        <w:rPr>
          <w:rFonts w:ascii="Times New Roman" w:eastAsia="Times New Roman" w:hAnsi="Times New Roman" w:cs="Times New Roman"/>
          <w:sz w:val="28"/>
          <w:szCs w:val="28"/>
        </w:rPr>
        <w:t>'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язку з цим д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ведена зміна клінічних проявів на слизовій оболонці порожнини рота 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при гострих лімфобластних лейкозах. Не викликає сумніву, що зміни 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рожнині рота відображ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ють закономірності патогенезу стоматологічної пат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логії, оскільки вони обумовлені етіологічною, патогенетичною та функціон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льною інтеграцією всіх систем організм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, і це набуває особливої знач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ущо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сті при вивченні клініки, діагностики та розробки нових схем лікування та пр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філактики проявів на слизовій оболонці порожнини рота 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</w:t>
      </w:r>
      <w:r w:rsidR="00277D63">
        <w:rPr>
          <w:rFonts w:ascii="Times New Roman" w:eastAsia="Times New Roman" w:hAnsi="Times New Roman" w:cs="Times New Roman"/>
          <w:sz w:val="28"/>
          <w:szCs w:val="28"/>
          <w:lang w:val="uk-UA"/>
        </w:rPr>
        <w:t>, хворих на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гостри</w:t>
      </w:r>
      <w:r w:rsidR="00277D63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лімфобластни</w:t>
      </w:r>
      <w:r w:rsidR="00277D63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7A7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лейкоз</w:t>
      </w:r>
      <w:r w:rsidR="00C356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7DC6" w:rsidRPr="003D0979" w:rsidRDefault="00E27DC6" w:rsidP="00E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511C" w:rsidRPr="00C1511C" w:rsidRDefault="00E27DC6" w:rsidP="00E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09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66737">
        <w:rPr>
          <w:rFonts w:ascii="Times New Roman" w:eastAsia="Times New Roman" w:hAnsi="Times New Roman" w:cs="Times New Roman"/>
          <w:b/>
          <w:sz w:val="28"/>
          <w:szCs w:val="28"/>
        </w:rPr>
        <w:t xml:space="preserve">2.2.    </w:t>
      </w:r>
      <w:r w:rsidR="007A7F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Характеристика об</w:t>
      </w:r>
      <w:r w:rsidR="007A7F55" w:rsidRPr="007A7F55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r w:rsidR="007A7F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єктів клінічних досліджень</w:t>
      </w:r>
      <w:r w:rsidRPr="009667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7DC6" w:rsidRPr="00966737" w:rsidRDefault="007A7F55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клінічних дослідженнях 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взяла</w:t>
      </w:r>
      <w:r w:rsidR="00FE7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161 дитина у віці від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2-х до 18-ти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років. З них у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126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 був діагностований гострий лімфобластний лейкоз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ЛЛ)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соматично здорових дітей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Гли</w:t>
      </w:r>
      <w:r w:rsidR="00C35629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окі клінічні та лабораторні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лідження проводили 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2FD8">
        <w:rPr>
          <w:rFonts w:ascii="Times New Roman" w:eastAsia="Times New Roman" w:hAnsi="Times New Roman" w:cs="Times New Roman"/>
          <w:sz w:val="28"/>
          <w:szCs w:val="28"/>
        </w:rPr>
        <w:t xml:space="preserve">126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дітей з ГЛЛ</w:t>
      </w:r>
      <w:r w:rsidR="005E2F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6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Основну групу дослідження склал</w:t>
      </w:r>
      <w:r w:rsidR="00FE7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91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Розподіл цих дітей за віком та статтю наведений у таблиці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2.1.</w:t>
      </w:r>
    </w:p>
    <w:p w:rsidR="003312E5" w:rsidRDefault="003312E5" w:rsidP="005E2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3DC3" w:rsidRDefault="00243DC3" w:rsidP="005E2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1947" w:rsidRPr="007A7F55" w:rsidRDefault="000B1947" w:rsidP="005E2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7DC6" w:rsidRPr="00966737" w:rsidRDefault="00E27DC6" w:rsidP="00E27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</w:t>
      </w:r>
      <w:r w:rsidR="007A7F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2.1.</w:t>
      </w:r>
    </w:p>
    <w:p w:rsidR="00E27DC6" w:rsidRPr="00A674E4" w:rsidRDefault="007A7F55" w:rsidP="00E27D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 дітей основної групи з</w:t>
      </w:r>
      <w:r w:rsidR="000B1947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</w:t>
      </w:r>
      <w:r w:rsidR="000B1947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>ом та статтю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4"/>
        <w:gridCol w:w="401"/>
        <w:gridCol w:w="1279"/>
        <w:gridCol w:w="1279"/>
        <w:gridCol w:w="1279"/>
        <w:gridCol w:w="1289"/>
        <w:gridCol w:w="1289"/>
        <w:gridCol w:w="1321"/>
      </w:tblGrid>
      <w:tr w:rsidR="00E27DC6" w:rsidRPr="00966737" w:rsidTr="00E27DC6">
        <w:tc>
          <w:tcPr>
            <w:tcW w:w="1835" w:type="dxa"/>
            <w:gridSpan w:val="2"/>
            <w:vMerge w:val="restart"/>
            <w:vAlign w:val="center"/>
          </w:tcPr>
          <w:p w:rsidR="00E27DC6" w:rsidRPr="00966737" w:rsidRDefault="007A7F55" w:rsidP="007A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6415" w:type="dxa"/>
            <w:gridSpan w:val="5"/>
            <w:vAlign w:val="center"/>
          </w:tcPr>
          <w:p w:rsidR="00E27DC6" w:rsidRPr="00966737" w:rsidRDefault="007A7F55" w:rsidP="007A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 дітей, що обстежуються </w:t>
            </w:r>
            <w:r w:rsidR="00E27DC6" w:rsidRPr="009667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  <w:r w:rsidR="00E27DC6" w:rsidRPr="009667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1" w:type="dxa"/>
            <w:vMerge w:val="restart"/>
            <w:vAlign w:val="center"/>
          </w:tcPr>
          <w:p w:rsidR="00E27DC6" w:rsidRPr="007A7F55" w:rsidRDefault="007A7F55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E27DC6" w:rsidRPr="00966737" w:rsidTr="00E27DC6">
        <w:tc>
          <w:tcPr>
            <w:tcW w:w="1835" w:type="dxa"/>
            <w:gridSpan w:val="2"/>
            <w:vMerge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8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28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321" w:type="dxa"/>
            <w:vMerge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DC6" w:rsidRPr="00966737" w:rsidTr="00E27DC6">
        <w:tc>
          <w:tcPr>
            <w:tcW w:w="1434" w:type="dxa"/>
            <w:vAlign w:val="center"/>
          </w:tcPr>
          <w:p w:rsidR="00E27DC6" w:rsidRPr="00966737" w:rsidRDefault="007A7F55" w:rsidP="007A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</w:p>
        </w:tc>
        <w:tc>
          <w:tcPr>
            <w:tcW w:w="40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27DC6" w:rsidRPr="00966737" w:rsidTr="00E27DC6">
        <w:tc>
          <w:tcPr>
            <w:tcW w:w="1434" w:type="dxa"/>
            <w:vAlign w:val="center"/>
          </w:tcPr>
          <w:p w:rsidR="00E27DC6" w:rsidRPr="007A7F55" w:rsidRDefault="007A7F55" w:rsidP="000B19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r w:rsidR="000B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атка</w:t>
            </w:r>
          </w:p>
        </w:tc>
        <w:tc>
          <w:tcPr>
            <w:tcW w:w="40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27DC6" w:rsidRPr="00966737" w:rsidTr="00E27DC6">
        <w:tc>
          <w:tcPr>
            <w:tcW w:w="1434" w:type="dxa"/>
            <w:vAlign w:val="center"/>
          </w:tcPr>
          <w:p w:rsidR="00E27DC6" w:rsidRPr="007A7F55" w:rsidRDefault="007A7F55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0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9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E27DC6" w:rsidRDefault="00E27DC6" w:rsidP="00E27D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410E" w:rsidRPr="006426E6" w:rsidRDefault="007A7F55" w:rsidP="00E2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групи порівняння увійшли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 у віці від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2-х до 18-ти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років, які хвор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 на ГЛЛ та ураження СОПР лікувалися за стандартними методиками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поділ цих дітей за віком та статтю наведений у таблиці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2.2.</w:t>
      </w:r>
    </w:p>
    <w:p w:rsidR="00E27DC6" w:rsidRPr="00243DC3" w:rsidRDefault="00E27DC6" w:rsidP="00E27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43DC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</w:t>
      </w:r>
      <w:r w:rsidR="007A7F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</w:t>
      </w:r>
      <w:r w:rsidRPr="00243DC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2.2.</w:t>
      </w:r>
    </w:p>
    <w:p w:rsidR="00E27DC6" w:rsidRPr="00243DC3" w:rsidRDefault="007A7F55" w:rsidP="00E27D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 дітей групи порівняння згідно</w:t>
      </w:r>
      <w:r w:rsidR="000B1947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</w:t>
      </w:r>
      <w:r w:rsidR="000B1947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>ом та статтю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4"/>
        <w:gridCol w:w="401"/>
        <w:gridCol w:w="1280"/>
        <w:gridCol w:w="1275"/>
        <w:gridCol w:w="1280"/>
        <w:gridCol w:w="1290"/>
        <w:gridCol w:w="1290"/>
        <w:gridCol w:w="1321"/>
      </w:tblGrid>
      <w:tr w:rsidR="00E27DC6" w:rsidRPr="00966737" w:rsidTr="00E27DC6">
        <w:tc>
          <w:tcPr>
            <w:tcW w:w="1835" w:type="dxa"/>
            <w:gridSpan w:val="2"/>
            <w:vMerge w:val="restart"/>
            <w:vAlign w:val="center"/>
          </w:tcPr>
          <w:p w:rsidR="00E27DC6" w:rsidRPr="00966737" w:rsidRDefault="007A7F55" w:rsidP="007A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6415" w:type="dxa"/>
            <w:gridSpan w:val="5"/>
            <w:vAlign w:val="center"/>
          </w:tcPr>
          <w:p w:rsidR="00E27DC6" w:rsidRPr="00966737" w:rsidRDefault="007A7F55" w:rsidP="007A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 дітей, що обстежуються (роки)</w:t>
            </w:r>
          </w:p>
        </w:tc>
        <w:tc>
          <w:tcPr>
            <w:tcW w:w="1321" w:type="dxa"/>
            <w:vMerge w:val="restart"/>
            <w:vAlign w:val="center"/>
          </w:tcPr>
          <w:p w:rsidR="00E27DC6" w:rsidRPr="007A7F55" w:rsidRDefault="007A7F55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E27DC6" w:rsidRPr="00966737" w:rsidTr="00E27DC6">
        <w:tc>
          <w:tcPr>
            <w:tcW w:w="1835" w:type="dxa"/>
            <w:gridSpan w:val="2"/>
            <w:vMerge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275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28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9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29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321" w:type="dxa"/>
            <w:vMerge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7DC6" w:rsidRPr="00966737" w:rsidTr="00E27DC6">
        <w:tc>
          <w:tcPr>
            <w:tcW w:w="1434" w:type="dxa"/>
            <w:vAlign w:val="center"/>
          </w:tcPr>
          <w:p w:rsidR="00E27DC6" w:rsidRPr="007A7F55" w:rsidRDefault="007A7F55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</w:p>
        </w:tc>
        <w:tc>
          <w:tcPr>
            <w:tcW w:w="40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28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7DC6" w:rsidRPr="00966737" w:rsidTr="00E27DC6">
        <w:tc>
          <w:tcPr>
            <w:tcW w:w="1434" w:type="dxa"/>
            <w:vAlign w:val="center"/>
          </w:tcPr>
          <w:p w:rsidR="00E27DC6" w:rsidRPr="007A7F55" w:rsidRDefault="007A7F55" w:rsidP="000B19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r w:rsidR="000B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атка</w:t>
            </w:r>
          </w:p>
        </w:tc>
        <w:tc>
          <w:tcPr>
            <w:tcW w:w="40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28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27DC6" w:rsidRPr="00966737" w:rsidTr="00E27DC6">
        <w:tc>
          <w:tcPr>
            <w:tcW w:w="1434" w:type="dxa"/>
            <w:vAlign w:val="center"/>
          </w:tcPr>
          <w:p w:rsidR="00E27DC6" w:rsidRPr="007A7F55" w:rsidRDefault="007A7F55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0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28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1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2410E" w:rsidRPr="006426E6" w:rsidRDefault="00A2410E" w:rsidP="00E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7DC6" w:rsidRPr="00966737" w:rsidRDefault="007A7F55" w:rsidP="00E27DC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Верифікацію діагнозу </w:t>
      </w:r>
      <w:r w:rsidR="000B194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 хворих на ГЛЛ, проводили згідно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27DC6" w:rsidRPr="00966737" w:rsidRDefault="007A7F55" w:rsidP="00E27DC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Клінічного обстежен</w:t>
      </w:r>
      <w:r w:rsidR="0016446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7DC6" w:rsidRPr="00966737" w:rsidRDefault="007A7F55" w:rsidP="00E27D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Інтоксикаційний синдром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слабкість, нездужання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запамор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чення, швидка втомлюваність, відсутність апетиту, субфебрилітет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27DC6" w:rsidRPr="00966737" w:rsidRDefault="007A7F55" w:rsidP="00E27D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Геморагічний синдром (наявність на тілі не властивих раніше гематом, геморагій, петехій, часті носові кровотечі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27DC6" w:rsidRPr="00966737" w:rsidRDefault="00C076BD" w:rsidP="00E27D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Проліферативний синдром (різке збільшення всіх груп лімфатичних 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лів, гепатоспленомегалія, наявність лейкемідів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1A2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27DC6" w:rsidRPr="00966737" w:rsidRDefault="00C076BD" w:rsidP="003D13E5">
      <w:pPr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Лабораторних метод</w:t>
      </w:r>
      <w:r w:rsidR="003F6D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обстеження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7DC6" w:rsidRPr="00966737" w:rsidRDefault="00C076BD" w:rsidP="00E27D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Загальні аналізи крові з роз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>горнен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ою </w:t>
      </w:r>
      <w:r w:rsidRPr="003F6DE4">
        <w:rPr>
          <w:rFonts w:ascii="Times New Roman" w:eastAsia="Times New Roman" w:hAnsi="Times New Roman" w:cs="Times New Roman"/>
          <w:sz w:val="28"/>
          <w:szCs w:val="28"/>
          <w:lang w:val="uk-UA"/>
        </w:rPr>
        <w:t>лейкоцита</w:t>
      </w:r>
      <w:r w:rsidR="003F6DE4" w:rsidRPr="003F6DE4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3F6DE4">
        <w:rPr>
          <w:rFonts w:ascii="Times New Roman" w:eastAsia="Times New Roman" w:hAnsi="Times New Roman" w:cs="Times New Roman"/>
          <w:sz w:val="28"/>
          <w:szCs w:val="28"/>
          <w:lang w:val="uk-UA"/>
        </w:rPr>
        <w:t>ною формулою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тикулоцити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7DC6" w:rsidRPr="00966737" w:rsidRDefault="00E27DC6" w:rsidP="00E27DC6">
      <w:pPr>
        <w:spacing w:after="0" w:line="36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а)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анемія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2-3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DC6" w:rsidRPr="00966737" w:rsidRDefault="00E27DC6" w:rsidP="00E27DC6">
      <w:pPr>
        <w:spacing w:after="0" w:line="36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   б)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лейкоцитоз або лейкопенія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DC6" w:rsidRPr="00966737" w:rsidRDefault="00E27DC6" w:rsidP="00E27DC6">
      <w:pPr>
        <w:spacing w:after="0" w:line="36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   в)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переважання лімфоцитозу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DC6" w:rsidRPr="00966737" w:rsidRDefault="00E27DC6" w:rsidP="00E27DC6">
      <w:pPr>
        <w:spacing w:after="0" w:line="36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   г)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різке підвищення ШОЕ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DC6" w:rsidRPr="00966737" w:rsidRDefault="00E27DC6" w:rsidP="00E27DC6">
      <w:pPr>
        <w:spacing w:after="0" w:line="36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   д)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тромбоцитопенія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10E" w:rsidRPr="00966737" w:rsidRDefault="00E27DC6" w:rsidP="00A03506">
      <w:pPr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стернального пунктату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наявність бластних клітин у кількості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50 - 100% </w:t>
      </w:r>
      <w:r w:rsidR="00FB0EE6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нормі до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5%).</w:t>
      </w:r>
    </w:p>
    <w:p w:rsidR="00A2410E" w:rsidRPr="00E61F79" w:rsidRDefault="00A03506" w:rsidP="00A03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Для уточнення підваріанту ГЛЛ</w:t>
      </w:r>
      <w:r w:rsidR="00FB0EE6" w:rsidRPr="00E61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E27DC6" w:rsidRPr="00FA06E6">
        <w:rPr>
          <w:rFonts w:ascii="Times New Roman" w:eastAsia="Times New Roman" w:hAnsi="Times New Roman" w:cs="Times New Roman"/>
          <w:sz w:val="28"/>
          <w:szCs w:val="28"/>
        </w:rPr>
        <w:t>L</w:t>
      </w:r>
      <w:r w:rsidR="00E27DC6" w:rsidRPr="00E61F7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E27DC6" w:rsidRPr="00E61F7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27DC6" w:rsidRPr="00E61F7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E27DC6" w:rsidRPr="00FA06E6">
        <w:rPr>
          <w:rFonts w:ascii="Times New Roman" w:eastAsia="Times New Roman" w:hAnsi="Times New Roman" w:cs="Times New Roman"/>
          <w:sz w:val="28"/>
          <w:szCs w:val="28"/>
        </w:rPr>
        <w:t>L</w:t>
      </w:r>
      <w:r w:rsidR="00E27DC6" w:rsidRPr="00E61F7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E27DC6" w:rsidRPr="00E61F7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41A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7DC6" w:rsidRPr="00FA06E6">
        <w:rPr>
          <w:rFonts w:ascii="Times New Roman" w:eastAsia="Times New Roman" w:hAnsi="Times New Roman" w:cs="Times New Roman"/>
          <w:sz w:val="28"/>
          <w:szCs w:val="28"/>
        </w:rPr>
        <w:t>L</w:t>
      </w:r>
      <w:r w:rsidR="00E27DC6" w:rsidRPr="00E61F7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E27DC6" w:rsidRPr="00E61F7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426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морфологічним признакам згідно трьох типів клітин,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референтну лабораторію направлялися мазки кі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ткового мозку та </w:t>
      </w:r>
      <w:r w:rsidR="00C076BD" w:rsidRPr="0093573D">
        <w:rPr>
          <w:rFonts w:ascii="Times New Roman" w:eastAsia="Times New Roman" w:hAnsi="Times New Roman" w:cs="Times New Roman"/>
          <w:sz w:val="28"/>
          <w:szCs w:val="28"/>
          <w:lang w:val="uk-UA"/>
        </w:rPr>
        <w:t>рідка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кров, де проводилися морфологічні</w:t>
      </w:r>
      <w:r w:rsidR="007B1A4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цитологічні, ц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тохімічні та імунологічні дослідження</w:t>
      </w:r>
      <w:r w:rsidR="00E27DC6" w:rsidRPr="00E61F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26E6" w:rsidRDefault="00E27DC6" w:rsidP="00A03506">
      <w:pPr>
        <w:spacing w:after="0" w:line="36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06E6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6426E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6426E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26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лімфобласти невеликих розмірів з гомогенним ядерним хроматином;</w:t>
      </w:r>
      <w:r w:rsidRPr="006426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06E6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6426E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6426E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6426E6" w:rsidRPr="006426E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26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великі лімфобласти, гетерогенні по розмірам, з непрвильною мембр</w:t>
      </w:r>
      <w:r w:rsidR="006426E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426E6">
        <w:rPr>
          <w:rFonts w:ascii="Times New Roman" w:eastAsia="Times New Roman" w:hAnsi="Times New Roman" w:cs="Times New Roman"/>
          <w:sz w:val="28"/>
          <w:szCs w:val="28"/>
          <w:lang w:val="uk-UA"/>
        </w:rPr>
        <w:t>ною ядра;</w:t>
      </w:r>
    </w:p>
    <w:p w:rsidR="00FB0EE6" w:rsidRPr="006426E6" w:rsidRDefault="00E27DC6" w:rsidP="00A03506">
      <w:pPr>
        <w:spacing w:after="0" w:line="36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06E6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6426E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426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6426E6" w:rsidRPr="006426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26E6">
        <w:rPr>
          <w:rFonts w:ascii="Times New Roman" w:eastAsia="Times New Roman" w:hAnsi="Times New Roman" w:cs="Times New Roman"/>
          <w:sz w:val="28"/>
          <w:szCs w:val="28"/>
          <w:lang w:val="uk-UA"/>
        </w:rPr>
        <w:t>великі лімфобласти з вираженою базофілією цитоплазми та з характ</w:t>
      </w:r>
      <w:r w:rsidR="006426E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6426E6">
        <w:rPr>
          <w:rFonts w:ascii="Times New Roman" w:eastAsia="Times New Roman" w:hAnsi="Times New Roman" w:cs="Times New Roman"/>
          <w:sz w:val="28"/>
          <w:szCs w:val="28"/>
          <w:lang w:val="uk-UA"/>
        </w:rPr>
        <w:t>рною її вакуолізацією, розміри бластів на варьїрують.</w:t>
      </w:r>
    </w:p>
    <w:p w:rsidR="00E27DC6" w:rsidRDefault="00A03506" w:rsidP="00A03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Залежно від етапу клінічного перебігу гострого лімфобластного лейкозу, дітей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розподілили на три підгрупи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(гострий період, ремісія, рецидив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Ро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07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поділ цих дітей наведено у таблиці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2.3.</w:t>
      </w:r>
    </w:p>
    <w:p w:rsidR="00A03506" w:rsidRDefault="00A03506" w:rsidP="00A035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</w:t>
      </w:r>
      <w:r w:rsidR="006426E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="00E27DC6" w:rsidRPr="00966737">
        <w:rPr>
          <w:rFonts w:ascii="Times New Roman" w:eastAsia="Times New Roman" w:hAnsi="Times New Roman" w:cs="Times New Roman"/>
          <w:i/>
          <w:sz w:val="28"/>
          <w:szCs w:val="28"/>
        </w:rPr>
        <w:t>Таблиц</w:t>
      </w:r>
      <w:r w:rsidR="00C076B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</w:t>
      </w:r>
      <w:r w:rsidR="00E27DC6"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2.3.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A03506" w:rsidRDefault="006426E6" w:rsidP="006426E6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035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C076BD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</w:t>
      </w:r>
      <w:r w:rsidR="00A03506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C076BD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</w:t>
      </w:r>
      <w:r w:rsidR="00A03506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відповідно  до </w:t>
      </w:r>
      <w:r w:rsidR="00C076BD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клінічного </w:t>
      </w:r>
      <w:r w:rsidR="00A03506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076BD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перебігу</w:t>
      </w:r>
      <w:r w:rsidR="00A03506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C076BD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гострого </w:t>
      </w:r>
      <w:r w:rsidR="00A03506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076BD" w:rsidRPr="00A674E4">
        <w:rPr>
          <w:rFonts w:ascii="Times New Roman" w:eastAsia="Times New Roman" w:hAnsi="Times New Roman" w:cs="Times New Roman"/>
          <w:sz w:val="28"/>
          <w:szCs w:val="28"/>
          <w:lang w:val="uk-UA"/>
        </w:rPr>
        <w:t>лімфобластного лейкозу (ГЛЛ)</w:t>
      </w:r>
    </w:p>
    <w:p w:rsidR="006426E6" w:rsidRPr="006426E6" w:rsidRDefault="006426E6" w:rsidP="006426E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05"/>
        <w:gridCol w:w="1643"/>
        <w:gridCol w:w="1716"/>
        <w:gridCol w:w="1671"/>
        <w:gridCol w:w="1560"/>
      </w:tblGrid>
      <w:tr w:rsidR="00E27DC6" w:rsidRPr="00966737" w:rsidTr="00E27DC6">
        <w:tc>
          <w:tcPr>
            <w:tcW w:w="2981" w:type="dxa"/>
            <w:gridSpan w:val="2"/>
            <w:vMerge w:val="restart"/>
            <w:vAlign w:val="center"/>
          </w:tcPr>
          <w:p w:rsidR="00E27DC6" w:rsidRPr="00966737" w:rsidRDefault="00C076BD" w:rsidP="00C0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дітей з ГЛЛ</w:t>
            </w:r>
          </w:p>
        </w:tc>
        <w:tc>
          <w:tcPr>
            <w:tcW w:w="5030" w:type="dxa"/>
            <w:gridSpan w:val="3"/>
            <w:vAlign w:val="center"/>
          </w:tcPr>
          <w:p w:rsidR="00E27DC6" w:rsidRPr="00966737" w:rsidRDefault="00C076BD" w:rsidP="00C0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клінічного перебігу ГЛЛ</w:t>
            </w:r>
          </w:p>
        </w:tc>
        <w:tc>
          <w:tcPr>
            <w:tcW w:w="1560" w:type="dxa"/>
            <w:vMerge w:val="restart"/>
            <w:vAlign w:val="center"/>
          </w:tcPr>
          <w:p w:rsidR="00E27DC6" w:rsidRPr="00966737" w:rsidRDefault="00C076BD" w:rsidP="00C0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E27DC6" w:rsidRPr="00966737" w:rsidTr="006426E6">
        <w:trPr>
          <w:trHeight w:val="772"/>
        </w:trPr>
        <w:tc>
          <w:tcPr>
            <w:tcW w:w="2981" w:type="dxa"/>
            <w:gridSpan w:val="2"/>
            <w:vMerge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27DC6" w:rsidRPr="00966737" w:rsidRDefault="00C076BD" w:rsidP="00C0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Гострий період</w:t>
            </w:r>
          </w:p>
        </w:tc>
        <w:tc>
          <w:tcPr>
            <w:tcW w:w="1716" w:type="dxa"/>
            <w:vAlign w:val="center"/>
          </w:tcPr>
          <w:p w:rsidR="00E27DC6" w:rsidRPr="00C076BD" w:rsidRDefault="00C076BD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Ремісія</w:t>
            </w:r>
          </w:p>
        </w:tc>
        <w:tc>
          <w:tcPr>
            <w:tcW w:w="1671" w:type="dxa"/>
            <w:vAlign w:val="center"/>
          </w:tcPr>
          <w:p w:rsidR="00E27DC6" w:rsidRPr="00C076BD" w:rsidRDefault="00C076BD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Рецидив</w:t>
            </w:r>
          </w:p>
        </w:tc>
        <w:tc>
          <w:tcPr>
            <w:tcW w:w="1560" w:type="dxa"/>
            <w:vMerge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DC6" w:rsidRPr="00966737" w:rsidTr="006426E6">
        <w:trPr>
          <w:trHeight w:val="361"/>
        </w:trPr>
        <w:tc>
          <w:tcPr>
            <w:tcW w:w="2376" w:type="dxa"/>
            <w:vAlign w:val="center"/>
          </w:tcPr>
          <w:p w:rsidR="00E27DC6" w:rsidRPr="00C076BD" w:rsidRDefault="00C076BD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605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43" w:type="dxa"/>
            <w:vAlign w:val="center"/>
          </w:tcPr>
          <w:p w:rsidR="00E27DC6" w:rsidRPr="00966737" w:rsidRDefault="00C21BAB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7DC6" w:rsidRPr="0096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vAlign w:val="center"/>
          </w:tcPr>
          <w:p w:rsidR="00E27DC6" w:rsidRPr="00966737" w:rsidRDefault="00E27DC6" w:rsidP="00C21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B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vAlign w:val="center"/>
          </w:tcPr>
          <w:p w:rsidR="00E27DC6" w:rsidRPr="00966737" w:rsidRDefault="00E27DC6" w:rsidP="00C21B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B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E27DC6" w:rsidRPr="00966737" w:rsidTr="006426E6">
        <w:trPr>
          <w:trHeight w:val="298"/>
        </w:trPr>
        <w:tc>
          <w:tcPr>
            <w:tcW w:w="2376" w:type="dxa"/>
            <w:vAlign w:val="center"/>
          </w:tcPr>
          <w:p w:rsidR="00E27DC6" w:rsidRPr="00C076BD" w:rsidRDefault="00C076BD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605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43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6" w:type="dxa"/>
            <w:vAlign w:val="center"/>
          </w:tcPr>
          <w:p w:rsidR="00E27DC6" w:rsidRPr="00966737" w:rsidRDefault="00C21BAB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  <w:vAlign w:val="center"/>
          </w:tcPr>
          <w:p w:rsidR="00E27DC6" w:rsidRPr="00966737" w:rsidRDefault="00C21BAB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27DC6" w:rsidRPr="00966737" w:rsidTr="006426E6">
        <w:trPr>
          <w:trHeight w:val="303"/>
        </w:trPr>
        <w:tc>
          <w:tcPr>
            <w:tcW w:w="2376" w:type="dxa"/>
            <w:vAlign w:val="center"/>
          </w:tcPr>
          <w:p w:rsidR="00E27DC6" w:rsidRPr="00C076BD" w:rsidRDefault="00C076BD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05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43" w:type="dxa"/>
            <w:vAlign w:val="center"/>
          </w:tcPr>
          <w:p w:rsidR="00E27DC6" w:rsidRPr="00966737" w:rsidRDefault="00C21BAB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7DC6" w:rsidRPr="0096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vAlign w:val="center"/>
          </w:tcPr>
          <w:p w:rsidR="00E27DC6" w:rsidRPr="00966737" w:rsidRDefault="00C21BAB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1" w:type="dxa"/>
            <w:vAlign w:val="center"/>
          </w:tcPr>
          <w:p w:rsidR="00E27DC6" w:rsidRPr="00966737" w:rsidRDefault="00C21BAB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E27DC6" w:rsidRPr="00966737" w:rsidRDefault="00E27DC6" w:rsidP="00E27D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6426E6" w:rsidRPr="00A03506" w:rsidRDefault="006426E6" w:rsidP="00521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7DC6" w:rsidRPr="00A03506" w:rsidRDefault="00E27DC6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35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2.3.    </w:t>
      </w:r>
      <w:r w:rsidR="00C07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Клінічні методи досліджень</w:t>
      </w:r>
      <w:r w:rsidRPr="00A035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E27DC6" w:rsidRPr="00A03506" w:rsidRDefault="00C076BD" w:rsidP="00E27DC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Обстеження проводилося в умовах стаціонарного відділення гематол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гії Дніпропетровської обласної дитячої клінічної лікарні </w:t>
      </w:r>
      <w:r w:rsidR="00F41A20" w:rsidRPr="00A03506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E27DC6" w:rsidRPr="00A035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використанням стоматологічного дзеркала та зонд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спеціального пуговчатого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зонда для оцінки стану тканин пародонту</w:t>
      </w:r>
      <w:r w:rsidR="00E27DC6" w:rsidRPr="00A03506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.</w:t>
      </w:r>
    </w:p>
    <w:p w:rsidR="00E27DC6" w:rsidRPr="00966737" w:rsidRDefault="00C076BD" w:rsidP="00E27DC6">
      <w:pPr>
        <w:shd w:val="clear" w:color="auto" w:fill="FFFFFF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Результати обстеження заносилися </w:t>
      </w:r>
      <w:r w:rsidR="00A0350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спеціальні карти ВОЗ, у яких фі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сувалися ураження слизової оболонки порожнини рота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966737" w:rsidRDefault="00C076BD" w:rsidP="00E27DC6">
      <w:pPr>
        <w:shd w:val="clear" w:color="auto" w:fill="FFFFFF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оцінки гігієнічного стану порожнини рота 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2-5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років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ристовували індекс Федорова-Володкіної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(1971),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заснований на фарбуванні зубного нальоту вестибулярної поверхні нижніх шести фронтальних </w:t>
      </w:r>
      <w:r w:rsidR="00F41A2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убів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966737" w:rsidRDefault="00C076BD" w:rsidP="00E27DC6">
      <w:pPr>
        <w:shd w:val="clear" w:color="auto" w:fill="FFFFFF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визначення індексу фарбували вестибулярну поверхню нижніх 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рі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ців та кликів йодо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им розчином Шиллера-П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сарева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Крітерієм оцінки гігієни порожнини рота був умовний підрахунок площі поверхні зуба, вкр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тий зубним нальотом, виражений у цифрах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966737" w:rsidRDefault="007D3337" w:rsidP="00E27DC6">
      <w:pPr>
        <w:shd w:val="clear" w:color="auto" w:fill="FFFFFF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оцінки гігієнічного стану порожнини рота 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старш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 років</w:t>
      </w:r>
      <w:r w:rsidR="00A0350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використовували індекс Грін-Вермільона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(1964),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заснований на фарбуванні зубного нальоту вестибулярної та оральної поверхні зубів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7DC6" w:rsidRPr="00966737" w:rsidRDefault="00907C90" w:rsidP="00907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виз</w:t>
      </w:r>
      <w:r w:rsidR="00F41A2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ачення індексу фарбували щічну та язи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кову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поверхні всіх пе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ших моляр</w:t>
      </w:r>
      <w:r w:rsidR="00F41A2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в та губну поверхню всіх перших різців</w:t>
      </w:r>
      <w:r w:rsidR="00E27DC6" w:rsidRPr="00E61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індекс Грін-Вермільона</w:t>
      </w:r>
      <w:r w:rsidR="00E27DC6" w:rsidRPr="00E61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йодо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им розчином Шилера-П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сарева</w:t>
      </w:r>
      <w:r w:rsidR="00E27DC6" w:rsidRPr="00E61F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всіх поверхнях спочатку в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значали зубний наліт, а потім зубний камінь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індекс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ОНI-S). 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Критерієм оці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D3337">
        <w:rPr>
          <w:rFonts w:ascii="Times New Roman" w:eastAsia="Times New Roman" w:hAnsi="Times New Roman" w:cs="Times New Roman"/>
          <w:sz w:val="28"/>
          <w:szCs w:val="28"/>
          <w:lang w:val="uk-UA"/>
        </w:rPr>
        <w:t>ки гігієни порожнини рота був умовний підрахунок площі поверхні зуба, вкритої зубним нальотом, виражений у цифрах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7DC6" w:rsidRPr="00966737" w:rsidRDefault="007D3337" w:rsidP="00E27D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визначення товщини зубного нальоту використовували гігієнічний індекс</w:t>
      </w:r>
      <w:r w:rsidR="00E27DC6"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16417">
        <w:rPr>
          <w:rFonts w:ascii="Times New Roman" w:eastAsia="Times New Roman" w:hAnsi="Times New Roman" w:cs="Times New Roman"/>
          <w:i/>
          <w:sz w:val="28"/>
          <w:szCs w:val="28"/>
        </w:rPr>
        <w:t>Silness-Loe</w:t>
      </w:r>
      <w:r w:rsidR="00E27DC6"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7DC6" w:rsidRPr="00E7584F">
        <w:rPr>
          <w:rFonts w:ascii="Times New Roman" w:eastAsia="Times New Roman" w:hAnsi="Times New Roman" w:cs="Times New Roman"/>
          <w:sz w:val="28"/>
          <w:szCs w:val="28"/>
        </w:rPr>
        <w:t>(1964).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ретельного висушування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14, 11, 26, 34, 31, 46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зубів кінчиком зонд</w:t>
      </w:r>
      <w:r w:rsidR="00907C9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визначали товщину зубного нальоту </w:t>
      </w:r>
      <w:r w:rsidR="00907C9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приши</w:t>
      </w:r>
      <w:r w:rsidR="00907C90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243DC3">
        <w:rPr>
          <w:rFonts w:ascii="Times New Roman" w:eastAsia="Times New Roman" w:hAnsi="Times New Roman" w:cs="Times New Roman"/>
          <w:sz w:val="28"/>
          <w:szCs w:val="28"/>
          <w:lang w:val="uk-UA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 </w:t>
      </w:r>
      <w:r w:rsidR="00907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3DC3">
        <w:rPr>
          <w:rFonts w:ascii="Times New Roman" w:eastAsia="Times New Roman" w:hAnsi="Times New Roman" w:cs="Times New Roman"/>
          <w:sz w:val="28"/>
          <w:szCs w:val="28"/>
          <w:lang w:val="uk-UA"/>
        </w:rPr>
        <w:t>ділянці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4-х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поверхнях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вестибулярній, язи</w:t>
      </w:r>
      <w:r w:rsidR="00907C90">
        <w:rPr>
          <w:rFonts w:ascii="Times New Roman" w:eastAsia="Times New Roman" w:hAnsi="Times New Roman" w:cs="Times New Roman"/>
          <w:sz w:val="28"/>
          <w:szCs w:val="28"/>
          <w:lang w:val="uk-UA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 та обох контактних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зультати оцінювали у балах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: 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балів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наліт біля шийки не визначається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; 1 бал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наліт візуально не визначається, лише на кінчику зонд</w:t>
      </w:r>
      <w:r w:rsidR="00907C9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якщо провести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біля шийки зуба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; 2 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візуально визначається помірне накопичення 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ного нальоту на поверхні зуба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; 3 бал</w:t>
      </w:r>
      <w:r w:rsidR="00BE315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інтенсивне відкладення зубного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льоту на поверхнях зуба та 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міжзубних проміжках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966737" w:rsidRDefault="007D3337" w:rsidP="00E27DC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Оцінку стану пародонту проводили за 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такими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клінічними ознаками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кольор</w:t>
      </w:r>
      <w:r w:rsidR="00243DC3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форм</w:t>
      </w:r>
      <w:r w:rsidR="00243DC3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розмір</w:t>
      </w:r>
      <w:r w:rsidR="00243DC3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ясенних сосочків, наявності кровоточив</w:t>
      </w:r>
      <w:r w:rsidR="00BE3154">
        <w:rPr>
          <w:rFonts w:ascii="Times New Roman" w:eastAsia="Times New Roman" w:hAnsi="Times New Roman" w:cs="Times New Roman"/>
          <w:sz w:val="28"/>
          <w:szCs w:val="28"/>
          <w:lang w:val="uk-UA"/>
        </w:rPr>
        <w:t>ості при пальпації та зондуванні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6D2E">
        <w:rPr>
          <w:rFonts w:ascii="Times New Roman" w:eastAsia="Times New Roman" w:hAnsi="Times New Roman" w:cs="Times New Roman"/>
          <w:sz w:val="28"/>
          <w:szCs w:val="28"/>
          <w:lang w:val="uk-UA"/>
        </w:rPr>
        <w:t>ясенної борозни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визначали цілісність зубо-ясенн</w:t>
      </w:r>
      <w:r w:rsidR="00D7597D">
        <w:rPr>
          <w:rFonts w:ascii="Times New Roman" w:eastAsia="Times New Roman" w:hAnsi="Times New Roman" w:cs="Times New Roman"/>
          <w:sz w:val="28"/>
          <w:szCs w:val="28"/>
          <w:lang w:val="uk-UA"/>
        </w:rPr>
        <w:t>ого з</w:t>
      </w:r>
      <w:r w:rsidR="00D7597D" w:rsidRPr="00D7597D">
        <w:rPr>
          <w:rFonts w:ascii="Times New Roman" w:eastAsia="Times New Roman" w:hAnsi="Times New Roman" w:cs="Times New Roman"/>
          <w:sz w:val="28"/>
          <w:szCs w:val="28"/>
        </w:rPr>
        <w:t>'</w:t>
      </w:r>
      <w:r w:rsidR="00D7597D">
        <w:rPr>
          <w:rFonts w:ascii="Times New Roman" w:eastAsia="Times New Roman" w:hAnsi="Times New Roman" w:cs="Times New Roman"/>
          <w:sz w:val="28"/>
          <w:szCs w:val="28"/>
          <w:lang w:val="uk-UA"/>
        </w:rPr>
        <w:t>єднання з метою диференці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D7597D">
        <w:rPr>
          <w:rFonts w:ascii="Times New Roman" w:eastAsia="Times New Roman" w:hAnsi="Times New Roman" w:cs="Times New Roman"/>
          <w:sz w:val="28"/>
          <w:szCs w:val="28"/>
          <w:lang w:val="uk-UA"/>
        </w:rPr>
        <w:t>ної діагностики з пародонтитом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7DC6" w:rsidRPr="00966737" w:rsidRDefault="00D7597D" w:rsidP="00E27DC6">
      <w:pPr>
        <w:shd w:val="clear" w:color="auto" w:fill="FFFFFF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об</w:t>
      </w:r>
      <w:r w:rsidRPr="00D7597D">
        <w:rPr>
          <w:rFonts w:ascii="Times New Roman" w:eastAsia="Times New Roman" w:hAnsi="Times New Roman" w:cs="Times New Roman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єктивної оцінки стану тканин пародонту 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проводили комплексне дослідження тканин пародонту з використанням пародонтальних індексів</w:t>
      </w:r>
      <w:r w:rsidR="00CF21CE">
        <w:rPr>
          <w:rFonts w:ascii="Times New Roman" w:eastAsia="Times New Roman" w:hAnsi="Times New Roman" w:cs="Times New Roman"/>
          <w:sz w:val="28"/>
          <w:szCs w:val="28"/>
        </w:rPr>
        <w:t>: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410E">
        <w:rPr>
          <w:rFonts w:ascii="Times New Roman" w:eastAsia="Times New Roman" w:hAnsi="Times New Roman" w:cs="Times New Roman"/>
          <w:sz w:val="28"/>
          <w:szCs w:val="28"/>
        </w:rPr>
        <w:t>РМА (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%</w:t>
      </w:r>
      <w:r w:rsidR="00A241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індексу кровоточивості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="00AB6BBC">
        <w:rPr>
          <w:rFonts w:ascii="Times New Roman" w:eastAsia="Times New Roman" w:hAnsi="Times New Roman" w:cs="Times New Roman"/>
          <w:sz w:val="28"/>
          <w:szCs w:val="28"/>
          <w:lang w:val="uk-UA"/>
        </w:rPr>
        <w:t>оби Ш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6BBC">
        <w:rPr>
          <w:rFonts w:ascii="Times New Roman" w:eastAsia="Times New Roman" w:hAnsi="Times New Roman" w:cs="Times New Roman"/>
          <w:sz w:val="28"/>
          <w:szCs w:val="28"/>
          <w:lang w:val="uk-UA"/>
        </w:rPr>
        <w:t>лера-П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B6BBC">
        <w:rPr>
          <w:rFonts w:ascii="Times New Roman" w:eastAsia="Times New Roman" w:hAnsi="Times New Roman" w:cs="Times New Roman"/>
          <w:sz w:val="28"/>
          <w:szCs w:val="28"/>
          <w:lang w:val="uk-UA"/>
        </w:rPr>
        <w:t>сар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чення та підрахунок індексів проводився за загальноприйнятими методик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D7597D" w:rsidRDefault="00D7597D" w:rsidP="00E27DC6">
      <w:pPr>
        <w:shd w:val="clear" w:color="auto" w:fill="FFFFFF"/>
        <w:spacing w:after="0" w:line="36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Кровоточивість ясен за </w:t>
      </w:r>
      <w:r w:rsidR="00E27DC6" w:rsidRPr="00BF601B">
        <w:rPr>
          <w:rFonts w:ascii="Times New Roman" w:eastAsia="Times New Roman" w:hAnsi="Times New Roman" w:cs="Times New Roman"/>
          <w:sz w:val="28"/>
          <w:szCs w:val="28"/>
          <w:lang w:val="uk-UA"/>
        </w:rPr>
        <w:t>Mühlemann, A.S. Mazor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(1958)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встановлювали в області </w:t>
      </w:r>
      <w:r w:rsidR="00E27DC6" w:rsidRPr="00966737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63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1pt" o:ole="">
            <v:imagedata r:id="rId9" o:title=""/>
          </v:shape>
          <o:OLEObject Type="Embed" ProgID="Equation.3" ShapeID="_x0000_i1025" DrawAspect="Content" ObjectID="_1559977758" r:id="rId10"/>
        </w:objec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27DC6" w:rsidRPr="0096673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800" w:dyaOrig="440">
          <v:shape id="_x0000_i1026" type="#_x0000_t75" style="width:41.25pt;height:21pt" o:ole="">
            <v:imagedata r:id="rId11" o:title=""/>
          </v:shape>
          <o:OLEObject Type="Embed" ProgID="Equation.3" ShapeID="_x0000_i1026" DrawAspect="Content" ObjectID="_1559977759" r:id="rId12"/>
        </w:objec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зубів. Ступінь 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означає відсутність кровоточивості;</w:t>
      </w:r>
      <w:r w:rsidR="00E7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зондування </w:t>
      </w:r>
      <w:r w:rsidR="004D6D2E">
        <w:rPr>
          <w:rFonts w:ascii="Times New Roman" w:eastAsia="Times New Roman" w:hAnsi="Times New Roman" w:cs="Times New Roman"/>
          <w:sz w:val="28"/>
          <w:szCs w:val="28"/>
          <w:lang w:val="uk-UA"/>
        </w:rPr>
        <w:t>ясенної борозни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утворюється точка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ізольована пляма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зондування міжзубний проміжок запо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нюється кров</w:t>
      </w:r>
      <w:r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сильна дифузна кровотеча, кров відразу після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ндування витікає у ясенну бороз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E27DC6" w:rsidRPr="00D7597D" w:rsidRDefault="00D7597D" w:rsidP="00E27DC6">
      <w:pPr>
        <w:shd w:val="clear" w:color="auto" w:fill="FFFFFF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Для оцінки ступен</w:t>
      </w:r>
      <w:r w:rsidR="00CF21C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запальних змін у пародонті був обраний індекс </w:t>
      </w:r>
      <w:r w:rsidR="00E27DC6" w:rsidRPr="00D7597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РМА (Парма)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з додатковим використанням </w:t>
      </w:r>
      <w:r w:rsidR="00056A6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проби Ш</w:t>
      </w:r>
      <w:r w:rsidR="00CF21C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="00056A6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лера-П</w:t>
      </w:r>
      <w:r w:rsidR="00CF21C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="00056A6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сар</w:t>
      </w:r>
      <w:r w:rsidR="00CF21C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е</w:t>
      </w:r>
      <w:r w:rsidR="00056A6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, що д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зволяє, з одного боку, оцінити розповсюдженість запального процесу </w:t>
      </w:r>
      <w:r w:rsidR="00CF21C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тк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нинах пародонту та визначити (за формулою) ступінь </w:t>
      </w:r>
      <w:r w:rsidR="00CF21C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жкості гінгівіту</w:t>
      </w:r>
      <w:r w:rsidR="00E27DC6" w:rsidRPr="00D7597D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(до 25 % 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27DC6" w:rsidRPr="00D7597D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легк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ий</w:t>
      </w:r>
      <w:r w:rsidR="00E27DC6" w:rsidRPr="00D7597D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від</w:t>
      </w:r>
      <w:r w:rsidR="00E27DC6" w:rsidRPr="00D7597D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25 % до 50 % 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середній та вище </w:t>
      </w:r>
      <w:r w:rsidR="00E27DC6" w:rsidRPr="00D7597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50 % 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F601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тя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жкий ступінь гінгівіту</w:t>
      </w:r>
      <w:r w:rsidR="00E27DC6" w:rsidRPr="00D7597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та, з іншого боку, показує ступінь запал</w:t>
      </w:r>
      <w:r w:rsidR="00CF21C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ення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ясен </w:t>
      </w:r>
      <w:r w:rsidR="00CF21C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біля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кожного з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ба (або секстанта)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Фарбування ясен йодо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 розчином (</w:t>
      </w:r>
      <w:r w:rsidR="00056A6F">
        <w:rPr>
          <w:rFonts w:ascii="Times New Roman" w:eastAsia="Times New Roman" w:hAnsi="Times New Roman" w:cs="Times New Roman"/>
          <w:sz w:val="28"/>
          <w:szCs w:val="28"/>
          <w:lang w:val="uk-UA"/>
        </w:rPr>
        <w:t>проба Ш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243DC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056A6F">
        <w:rPr>
          <w:rFonts w:ascii="Times New Roman" w:eastAsia="Times New Roman" w:hAnsi="Times New Roman" w:cs="Times New Roman"/>
          <w:sz w:val="28"/>
          <w:szCs w:val="28"/>
          <w:lang w:val="uk-UA"/>
        </w:rPr>
        <w:t>ера-П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56A6F">
        <w:rPr>
          <w:rFonts w:ascii="Times New Roman" w:eastAsia="Times New Roman" w:hAnsi="Times New Roman" w:cs="Times New Roman"/>
          <w:sz w:val="28"/>
          <w:szCs w:val="28"/>
          <w:lang w:val="uk-UA"/>
        </w:rPr>
        <w:t>сар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056A6F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 доповнює даний індекс та дає можливість більш об</w:t>
      </w:r>
      <w:r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єктивно оцін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 ступінь запалення ясен за інтенсивністю забарвлення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Індекс </w:t>
      </w:r>
      <w:r w:rsidR="00E27DC6" w:rsidRPr="00D75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РМА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мендований ВОЗ при обстеженнях пародонту та частіше за інші індекси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стрічається 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спеціальній літературі, що робить наші дані порів</w:t>
      </w:r>
      <w:r w:rsidR="00CF21CE">
        <w:rPr>
          <w:rFonts w:ascii="Times New Roman" w:eastAsia="Times New Roman" w:hAnsi="Times New Roman" w:cs="Times New Roman"/>
          <w:sz w:val="28"/>
          <w:szCs w:val="28"/>
          <w:lang w:val="uk-UA"/>
        </w:rPr>
        <w:t>нян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ими з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зультатами інших дослідників</w:t>
      </w:r>
      <w:r w:rsidR="00E27DC6" w:rsidRPr="00D7597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E27DC6" w:rsidRPr="00966737" w:rsidRDefault="00D7597D" w:rsidP="00E27DC6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Повторні обстеження проводилися через </w:t>
      </w:r>
      <w:r w:rsidR="00E27DC6" w:rsidRPr="00A2410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місяць (після лікування), 3, 6 місяців та через один рік</w:t>
      </w:r>
      <w:r w:rsidR="00E27DC6" w:rsidRPr="00A24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966737" w:rsidRDefault="00E27DC6" w:rsidP="00E27DC6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DC6" w:rsidRPr="00966737" w:rsidRDefault="00E27DC6" w:rsidP="00E27DC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979">
        <w:rPr>
          <w:rFonts w:ascii="Times New Roman" w:eastAsia="Times New Roman" w:hAnsi="Times New Roman" w:cs="Times New Roman"/>
          <w:b/>
          <w:sz w:val="28"/>
          <w:szCs w:val="28"/>
        </w:rPr>
        <w:t xml:space="preserve">2.4.    </w:t>
      </w:r>
      <w:r w:rsidR="003D09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Лабораторні методи досліджень</w:t>
      </w:r>
      <w:r w:rsidRPr="003D09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7DC6" w:rsidRPr="00AB0D8F" w:rsidRDefault="00E27DC6" w:rsidP="00E27DC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0D8F">
        <w:rPr>
          <w:rFonts w:ascii="Times New Roman" w:eastAsia="Times New Roman" w:hAnsi="Times New Roman" w:cs="Times New Roman"/>
          <w:i/>
          <w:sz w:val="28"/>
          <w:szCs w:val="28"/>
        </w:rPr>
        <w:t xml:space="preserve">2.4.1.   </w:t>
      </w:r>
      <w:r w:rsidR="003D0979" w:rsidRPr="00AB0D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Біохімічні методи дослідження</w:t>
      </w:r>
      <w:r w:rsidRPr="00AB0D8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27DC6" w:rsidRPr="00137D8A" w:rsidRDefault="003D0979" w:rsidP="00E27DC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Біохімічні дослідження проводилися </w:t>
      </w:r>
      <w:r w:rsidR="00E44A4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пацієнтів. Аналіз досліджень ротової рідини проводили перед виконанням лікувальних заходів, безпосередньо після курсу лікування, через </w:t>
      </w:r>
      <w:r w:rsidR="00E27DC6" w:rsidRPr="003D0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3, 6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E27DC6" w:rsidRPr="003D0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місяців</w:t>
      </w:r>
      <w:r w:rsidR="00E27DC6" w:rsidRPr="003D0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Ротову</w:t>
      </w:r>
      <w:r w:rsidR="00BF6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рідину збирали вранці натщесер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7DC6" w:rsidRPr="00137D8A" w:rsidRDefault="003D0979" w:rsidP="00E27DC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визначення показників вільнорадикального окислення ліпідів та стану антиоксидантної системи проводилися </w:t>
      </w:r>
      <w:r w:rsidR="00E44A42">
        <w:rPr>
          <w:rFonts w:ascii="Times New Roman" w:eastAsia="Times New Roman" w:hAnsi="Times New Roman" w:cs="Times New Roman"/>
          <w:sz w:val="28"/>
          <w:szCs w:val="28"/>
          <w:lang w:val="uk-UA"/>
        </w:rPr>
        <w:t>такі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27DC6" w:rsidRPr="008714CE" w:rsidRDefault="003D0979" w:rsidP="00E27DC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Рівень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малонового діальдегіду</w:t>
      </w:r>
      <w:r w:rsidR="00E27DC6" w:rsidRPr="008714C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 xml:space="preserve"> (МДА)</w:t>
      </w:r>
      <w:r w:rsidR="00E7584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визначали за допомогою тіобарб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турової кислоти, в результаті взаємодії з якою створюється зафарбований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мет</w:t>
      </w:r>
      <w:r w:rsidR="00E44A4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новий комплекс</w:t>
      </w:r>
      <w:r w:rsidR="00E7584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FC76A8" w:rsidRPr="008714CE">
        <w:rPr>
          <w:rFonts w:ascii="Times New Roman" w:hAnsi="Times New Roman" w:cs="Times New Roman"/>
          <w:color w:val="000000"/>
          <w:sz w:val="28"/>
          <w:szCs w:val="28"/>
          <w:lang w:val="uk-UA"/>
        </w:rPr>
        <w:t>[22</w:t>
      </w:r>
      <w:r w:rsidR="003634F2" w:rsidRPr="008714C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FC76A8" w:rsidRPr="008714CE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FC76A8" w:rsidRPr="008714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5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Концентрація М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пропорційна інтенсивності забарвлення, яку виражали у мілімолях на 1 мл ротової рідини</w:t>
      </w:r>
      <w:r w:rsidR="00E27DC6" w:rsidRPr="008714C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E27DC6" w:rsidRPr="008714CE" w:rsidRDefault="003D0979" w:rsidP="00E27DC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Активність </w:t>
      </w:r>
      <w:r w:rsidRPr="00E7584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каталази</w:t>
      </w:r>
      <w:r w:rsidR="00E7584F" w:rsidRPr="00E7584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44A4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визначали за допомогою методу </w:t>
      </w:r>
      <w:r w:rsidR="003634F2" w:rsidRPr="00871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М.А. Королюк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заснованого на здатності перекису водню, що </w:t>
      </w:r>
      <w:r w:rsidR="00E44A4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творився в присутності каталази, поєднуватися із молями молібдену </w:t>
      </w:r>
      <w:r w:rsidR="00E44A4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стійкий памара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чевий комплекс</w:t>
      </w:r>
      <w:r w:rsidR="00E7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34F2" w:rsidRPr="008714CE">
        <w:rPr>
          <w:rFonts w:ascii="Times New Roman" w:hAnsi="Times New Roman" w:cs="Times New Roman"/>
          <w:color w:val="000000"/>
          <w:sz w:val="28"/>
          <w:szCs w:val="28"/>
          <w:lang w:val="uk-UA"/>
        </w:rPr>
        <w:t>[227]</w:t>
      </w:r>
      <w:r w:rsidR="003634F2" w:rsidRPr="008714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5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Інтенсивність забарвлення комплексу пропорційна 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тивності каталази, яку виражали у мілікаталах на</w:t>
      </w:r>
      <w:r w:rsidR="00E7584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1 літр ротової рідини. 1 катал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це здатність ферменту каталізувати створення 1 моля перекису водн</w:t>
      </w:r>
      <w:r w:rsidR="00876A1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ю</w:t>
      </w:r>
      <w:r w:rsidR="00E27DC6" w:rsidRPr="008714C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E27DC6" w:rsidRPr="008714CE" w:rsidRDefault="003D0979" w:rsidP="00E27D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Визначення активності уреази</w:t>
      </w:r>
      <w:r w:rsidR="00E7584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проводили за допом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гою субстрата сечовини, яка 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присутності уреази розщеплюється до аміаку, кількість якого реєструють за реакцією з реактивом Несслера</w:t>
      </w:r>
      <w:r w:rsidR="00E7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34F2" w:rsidRPr="008714CE">
        <w:rPr>
          <w:rFonts w:ascii="Times New Roman" w:hAnsi="Times New Roman" w:cs="Times New Roman"/>
          <w:color w:val="000000"/>
          <w:sz w:val="28"/>
          <w:szCs w:val="28"/>
          <w:lang w:val="uk-UA"/>
        </w:rPr>
        <w:t>[22</w:t>
      </w:r>
      <w:r w:rsidR="001F4B0E" w:rsidRPr="008714CE">
        <w:rPr>
          <w:rFonts w:ascii="Times New Roman" w:hAnsi="Times New Roman" w:cs="Times New Roman"/>
          <w:color w:val="000000"/>
          <w:sz w:val="28"/>
          <w:szCs w:val="28"/>
          <w:lang w:val="uk-UA"/>
        </w:rPr>
        <w:t>8, 229</w:t>
      </w:r>
      <w:r w:rsidR="003634F2" w:rsidRPr="008714CE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7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тивність уреази виражали у мікромолях аміаку, що 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творився за 1 хвилину в 1 літрі ротової рідини (мкмоль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NH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хв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.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>л)</w:t>
      </w:r>
      <w:r w:rsidR="00E27DC6" w:rsidRPr="008714C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E27DC6" w:rsidRPr="00966737" w:rsidRDefault="003D0979" w:rsidP="00E27D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Визначення ступен</w:t>
      </w:r>
      <w:r w:rsidR="00876A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9F1F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дисбіозу</w:t>
      </w:r>
      <w:r w:rsidR="00E7584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порожнини рота проводили ферментати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методом за Левицьким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А.П. (2006) </w:t>
      </w:r>
      <w:r w:rsidR="00E27DC6" w:rsidRPr="00966737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E27DC6" w:rsidRPr="001F4B0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F4B0E" w:rsidRPr="001F4B0E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E27DC6" w:rsidRPr="001F4B0E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E27DC6" w:rsidRPr="001F4B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розраховували 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ношенн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відносної активності уреази та лізоциму за формулою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1A22" w:rsidRDefault="00521A22" w:rsidP="00E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7DC6" w:rsidRPr="00966737" w:rsidRDefault="00B05FD8" w:rsidP="00E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rect id="Прямоугольник 2" o:spid="_x0000_s1027" style="position:absolute;left:0;text-align:left;margin-left:228pt;margin-top:7.3pt;width:69pt;height:6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" stroked="f">
            <v:fill opacity="0"/>
            <v:textbox>
              <w:txbxContent>
                <w:p w:rsidR="001752C0" w:rsidRPr="00B15972" w:rsidRDefault="001752C0" w:rsidP="00E27DC6">
                  <w:pPr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 w:rsidRPr="00B15972"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  <w:vertAlign w:val="subscript"/>
                      <w:lang w:val="uk-UA"/>
                    </w:rPr>
                    <w:t>відн</w:t>
                  </w:r>
                  <w:r w:rsidRPr="00B15972">
                    <w:rPr>
                      <w:sz w:val="28"/>
                      <w:szCs w:val="28"/>
                      <w:vertAlign w:val="subscript"/>
                    </w:rPr>
                    <w:t>.</w:t>
                  </w:r>
                </w:p>
                <w:p w:rsidR="001752C0" w:rsidRPr="00B15972" w:rsidRDefault="001752C0" w:rsidP="00E27DC6">
                  <w:pPr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  <w:vertAlign w:val="subscript"/>
                      <w:lang w:val="uk-UA"/>
                    </w:rPr>
                    <w:t>відн.</w:t>
                  </w:r>
                </w:p>
              </w:txbxContent>
            </v:textbox>
          </v:rect>
        </w:pict>
      </w:r>
    </w:p>
    <w:p w:rsidR="00E27DC6" w:rsidRPr="00966737" w:rsidRDefault="00B05FD8" w:rsidP="00E27D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line id="Прямая соединительная линия 1" o:spid="_x0000_s1026" style="position:absolute;left:0;text-align:left;z-index:251660288;visibility:visible" from="234pt,11.15pt" to="27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iZTQIAAFc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"/>
        </w:pic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СД =                       (2.3)</w:t>
      </w:r>
    </w:p>
    <w:p w:rsidR="00E27DC6" w:rsidRPr="00966737" w:rsidRDefault="00E27DC6" w:rsidP="00E27D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DC6" w:rsidRPr="00966737" w:rsidRDefault="00E27DC6" w:rsidP="003D13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D097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відн</w:t>
      </w:r>
      <w:r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D0979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відносна активність уреази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DC6" w:rsidRDefault="00E27DC6" w:rsidP="003D13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D097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відн</w:t>
      </w:r>
      <w:r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D0979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відносна активність лізоциму</w:t>
      </w:r>
      <w:r w:rsidR="00E758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7584F" w:rsidRPr="00966737" w:rsidRDefault="00E7584F" w:rsidP="003D13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DC6" w:rsidRPr="00AB0D8F" w:rsidRDefault="00E27DC6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0D8F">
        <w:rPr>
          <w:rFonts w:ascii="Times New Roman" w:eastAsia="Times New Roman" w:hAnsi="Times New Roman" w:cs="Times New Roman"/>
          <w:i/>
          <w:sz w:val="28"/>
          <w:szCs w:val="28"/>
        </w:rPr>
        <w:t xml:space="preserve">2.4.2.   </w:t>
      </w:r>
      <w:r w:rsidR="003D0979" w:rsidRPr="00AB0D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Імунологічні методи дослідження</w:t>
      </w:r>
      <w:r w:rsidRPr="00AB0D8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27DC6" w:rsidRPr="00966737" w:rsidRDefault="003D0979" w:rsidP="00E27DC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Для вивчення неспецифічної резистентності </w:t>
      </w:r>
      <w:r w:rsidR="00876A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порожнині рота визн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чали такі показники місцевого імунітету, як лізоцима та </w:t>
      </w:r>
      <w:r w:rsidR="00B920B4">
        <w:rPr>
          <w:rFonts w:ascii="Times New Roman" w:eastAsia="Times New Roman" w:hAnsi="Times New Roman" w:cs="Times New Roman"/>
          <w:sz w:val="28"/>
          <w:szCs w:val="28"/>
        </w:rPr>
        <w:t xml:space="preserve">α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дефензін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у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товій рідині</w:t>
      </w:r>
      <w:r w:rsidR="00B920B4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27DC6" w:rsidRPr="00966737" w:rsidRDefault="003D0979" w:rsidP="00E27D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Для визначення вмісту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лізоциму</w:t>
      </w:r>
      <w:r w:rsidR="00E7584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ротової рідини використовувалися і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дикаторні мікроорганізми</w:t>
      </w:r>
      <w:r w:rsidR="00E27DC6" w:rsidRPr="009667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Micrococcus Lisodeicticus – 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</w:t>
      </w:r>
      <w:r w:rsidR="00E27DC6" w:rsidRPr="009667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r w:rsidR="00E7584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Біохім реактив</w:t>
      </w:r>
      <w:r w:rsidR="00E7584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» </w:t>
      </w:r>
      <w:r w:rsidR="00E27DC6" w:rsidRPr="00966737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м</w:t>
      </w:r>
      <w:r w:rsidR="00E27DC6" w:rsidRPr="00966737">
        <w:rPr>
          <w:rFonts w:ascii="Times New Roman" w:eastAsia="Times New Roman" w:hAnsi="Times New Roman" w:cs="Times New Roman"/>
          <w:spacing w:val="1"/>
          <w:sz w:val="28"/>
          <w:szCs w:val="28"/>
        </w:rPr>
        <w:t>. Санкт-Петербург)</w:t>
      </w:r>
      <w:r w:rsidR="00055A4F" w:rsidRPr="007A2D85">
        <w:rPr>
          <w:sz w:val="28"/>
          <w:szCs w:val="28"/>
          <w:lang w:eastAsia="uk-UA"/>
        </w:rPr>
        <w:t>[</w:t>
      </w:r>
      <w:r w:rsidR="00055A4F" w:rsidRPr="00A16DEE">
        <w:rPr>
          <w:rFonts w:ascii="Times New Roman" w:hAnsi="Times New Roman" w:cs="Times New Roman"/>
          <w:sz w:val="28"/>
          <w:szCs w:val="28"/>
          <w:lang w:eastAsia="uk-UA"/>
        </w:rPr>
        <w:t>23</w:t>
      </w:r>
      <w:r w:rsidR="00A16DEE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055A4F" w:rsidRPr="00A16DEE">
        <w:rPr>
          <w:rFonts w:ascii="Times New Roman" w:hAnsi="Times New Roman" w:cs="Times New Roman"/>
          <w:sz w:val="28"/>
          <w:szCs w:val="28"/>
          <w:lang w:eastAsia="uk-UA"/>
        </w:rPr>
        <w:t>, 23</w:t>
      </w:r>
      <w:r w:rsidR="00A16DEE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055A4F" w:rsidRPr="007A2D85">
        <w:rPr>
          <w:sz w:val="28"/>
          <w:szCs w:val="28"/>
          <w:lang w:eastAsia="uk-UA"/>
        </w:rPr>
        <w:t>]</w:t>
      </w:r>
      <w:r w:rsidR="00E27DC6" w:rsidRPr="009667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Дослідження проводилися фотоколориме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ричним методом, що визначає різницю ступен</w:t>
      </w:r>
      <w:r w:rsidR="00876A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екстинкції на довжині хвилі</w:t>
      </w:r>
      <w:r w:rsidR="00E27DC6" w:rsidRPr="009667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540 нм (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зелений фільтр</w:t>
      </w:r>
      <w:r w:rsidR="00E27DC6" w:rsidRPr="009667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через </w:t>
      </w:r>
      <w:r w:rsidR="00E27DC6" w:rsidRPr="009667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та</w:t>
      </w:r>
      <w:r w:rsidR="00E27DC6" w:rsidRPr="009667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180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хвилин</w:t>
      </w:r>
      <w:r w:rsidR="00E27DC6" w:rsidRPr="009667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E27DC6" w:rsidRPr="00966737" w:rsidRDefault="00CF383C" w:rsidP="00E27D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Для визначення рівня лізоциму та </w:t>
      </w:r>
      <w:r w:rsidR="009F1FFC">
        <w:rPr>
          <w:rFonts w:ascii="Times New Roman" w:eastAsia="Times New Roman" w:hAnsi="Times New Roman" w:cs="Times New Roman"/>
          <w:sz w:val="28"/>
          <w:szCs w:val="28"/>
        </w:rPr>
        <w:t>α-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дефензинів</w:t>
      </w:r>
      <w:r w:rsidR="009F1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ротову рідину збирали натщесер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 вранці, без попередніх гігієнічних заходів</w:t>
      </w:r>
      <w:r w:rsidR="00E27DC6" w:rsidRPr="00966737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27DC6" w:rsidRPr="00CF383C" w:rsidRDefault="00CF383C" w:rsidP="00E27D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Людські </w:t>
      </w:r>
      <w:r w:rsidR="00E27DC6" w:rsidRPr="00966737">
        <w:rPr>
          <w:rFonts w:ascii="Times New Roman" w:eastAsia="Times New Roman" w:hAnsi="Times New Roman" w:cs="Times New Roman"/>
          <w:i/>
          <w:sz w:val="28"/>
          <w:szCs w:val="28"/>
        </w:rPr>
        <w:t>дефензин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ейтрофілів </w:t>
      </w:r>
      <w:r w:rsidR="009F1FFC">
        <w:rPr>
          <w:rFonts w:ascii="Times New Roman" w:eastAsia="Times New Roman" w:hAnsi="Times New Roman" w:cs="Times New Roman"/>
          <w:sz w:val="28"/>
          <w:szCs w:val="28"/>
        </w:rPr>
        <w:t>(α-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дефензини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відносяться до сімейс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 катіонних </w:t>
      </w:r>
      <w:r w:rsidRPr="00E12E11">
        <w:rPr>
          <w:rFonts w:ascii="Times New Roman" w:eastAsia="Times New Roman" w:hAnsi="Times New Roman" w:cs="Times New Roman"/>
          <w:sz w:val="28"/>
          <w:szCs w:val="28"/>
          <w:lang w:val="uk-UA"/>
        </w:rPr>
        <w:t>три</w:t>
      </w:r>
      <w:r w:rsidR="00E12E11" w:rsidRPr="00E12E11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E12E11">
        <w:rPr>
          <w:rFonts w:ascii="Times New Roman" w:eastAsia="Times New Roman" w:hAnsi="Times New Roman" w:cs="Times New Roman"/>
          <w:sz w:val="28"/>
          <w:szCs w:val="28"/>
          <w:lang w:val="uk-UA"/>
        </w:rPr>
        <w:t>ульфо</w:t>
      </w:r>
      <w:r w:rsidR="009703C4" w:rsidRPr="00E12E11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Pr="00E12E11">
        <w:rPr>
          <w:rFonts w:ascii="Times New Roman" w:eastAsia="Times New Roman" w:hAnsi="Times New Roman" w:cs="Times New Roman"/>
          <w:sz w:val="28"/>
          <w:szCs w:val="28"/>
          <w:lang w:val="uk-UA"/>
        </w:rPr>
        <w:t>их мікробіцидних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білків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Крім мікробіцидної активності ці білки проявляють хемотоксичну, імуномодулюючу та цитото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сичну активність та </w:t>
      </w:r>
      <w:r w:rsidRPr="00E12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задіяні 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12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</w:t>
      </w:r>
      <w:r w:rsidR="00516B67" w:rsidRPr="00E12E1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12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організму </w:t>
      </w:r>
      <w:r w:rsidR="00E12E11" w:rsidRPr="00521A2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521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запальн</w:t>
      </w:r>
      <w:r w:rsidR="00521A22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516B67" w:rsidRPr="00521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</w:t>
      </w:r>
      <w:r w:rsidR="00521A22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E27DC6" w:rsidRPr="00521A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7584F" w:rsidRDefault="00CF383C" w:rsidP="00AB0D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рівня </w:t>
      </w:r>
      <w:r w:rsidR="00E27DC6" w:rsidRPr="009F1FFC">
        <w:rPr>
          <w:rFonts w:ascii="Times New Roman" w:eastAsia="Times New Roman" w:hAnsi="Times New Roman" w:cs="Times New Roman"/>
          <w:sz w:val="28"/>
          <w:szCs w:val="28"/>
          <w:lang w:val="uk-UA"/>
        </w:rPr>
        <w:t>α</w:t>
      </w:r>
      <w:r w:rsidR="009F1FF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27DC6" w:rsidRPr="009F1F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</w:t>
      </w:r>
      <w:r w:rsidRPr="009F1F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ефензинів</w:t>
      </w:r>
      <w:r w:rsidR="00E27DC6" w:rsidRPr="00CF3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E27DC6" w:rsidRPr="00E87734">
        <w:rPr>
          <w:rFonts w:ascii="Times New Roman" w:eastAsia="Times New Roman" w:hAnsi="Times New Roman" w:cs="Times New Roman"/>
          <w:sz w:val="28"/>
          <w:szCs w:val="28"/>
        </w:rPr>
        <w:t>HNP</w:t>
      </w:r>
      <w:r w:rsidR="00E27DC6" w:rsidRPr="00CF3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1-3)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ротовій рідині досліджув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 методом імуноферментного аналізу</w:t>
      </w:r>
      <w:r w:rsidR="00E27DC6" w:rsidRPr="00CF383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(</w:t>
      </w:r>
      <w:r w:rsidR="00E7584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«</w:t>
      </w:r>
      <w:r w:rsidR="00E27DC6" w:rsidRPr="00CF383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НВТ</w:t>
      </w:r>
      <w:r w:rsidR="00E7584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»</w:t>
      </w:r>
      <w:r w:rsidR="00E27DC6" w:rsidRPr="00CF383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Голандія</w:t>
      </w:r>
      <w:r w:rsidR="00E27DC6" w:rsidRPr="00CF383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).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Діапазон вимір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вання</w:t>
      </w:r>
      <w:r w:rsidR="00E27DC6" w:rsidRPr="00137D8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: 156-10000 пг/мл.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Чутливість </w:t>
      </w:r>
      <w:r w:rsidR="00E27DC6" w:rsidRPr="00137D8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156 пг/мл.</w:t>
      </w:r>
    </w:p>
    <w:p w:rsidR="00AB0D8F" w:rsidRPr="00AB0D8F" w:rsidRDefault="00AB0D8F" w:rsidP="00AB0D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</w:p>
    <w:p w:rsidR="00E27DC6" w:rsidRPr="00AB0D8F" w:rsidRDefault="00CF383C" w:rsidP="00E7584F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B0D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2.4.3.   Мікробіологічні методи дослідження</w:t>
      </w:r>
      <w:r w:rsidR="00E27DC6" w:rsidRPr="00AB0D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E27DC6" w:rsidRPr="00137D8A" w:rsidRDefault="00E27DC6" w:rsidP="00E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визначення мікробного пейзажу різних біотопів у ротовій поро</w:t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нині 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пацієнтів бралися посіви </w:t>
      </w:r>
      <w:r w:rsidR="000C6A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натщесерце </w:t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3 основних точок</w:t>
      </w:r>
      <w:r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1 – </w:t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>ротова рідина</w:t>
      </w:r>
      <w:r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ED126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>зубний наліт з вестибулярної поверхні молярів нижньої щелепи</w:t>
      </w:r>
      <w:r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 </w:t>
      </w:r>
      <w:r w:rsidR="00ED126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>рідина зубоясенного желобку в області центральних р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>зців верхньої щ</w:t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>лепи</w:t>
      </w:r>
      <w:r w:rsidR="00243D19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F383C">
        <w:rPr>
          <w:rFonts w:ascii="Times New Roman" w:eastAsia="Times New Roman" w:hAnsi="Times New Roman" w:cs="Times New Roman"/>
          <w:sz w:val="28"/>
          <w:szCs w:val="28"/>
          <w:lang w:val="uk-UA"/>
        </w:rPr>
        <w:t>ясенна рідина</w:t>
      </w:r>
      <w:r w:rsidR="00243D19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43D19" w:rsidRPr="00137D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[152].</w:t>
      </w:r>
    </w:p>
    <w:p w:rsidR="004F5C9F" w:rsidRPr="004F5C9F" w:rsidRDefault="00CF383C" w:rsidP="004F5C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дослідження використовувалися наступні поживні середовища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кров</w:t>
      </w:r>
      <w:r w:rsidR="000C6A3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яний агар 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виділення </w:t>
      </w:r>
      <w:r w:rsidR="00521A22">
        <w:rPr>
          <w:rFonts w:ascii="Times New Roman" w:eastAsia="Times New Roman" w:hAnsi="Times New Roman" w:cs="Times New Roman"/>
          <w:sz w:val="28"/>
          <w:szCs w:val="28"/>
          <w:lang w:val="uk-UA"/>
        </w:rPr>
        <w:t>чутливих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мікроорганізмів та визначення 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молітичної активності, жовтково-сольовий агар</w:t>
      </w:r>
      <w:r w:rsidR="00A40D64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ЖСА 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виділення стаф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лококів, агар Е</w:t>
      </w:r>
      <w:r w:rsidR="00A16DEE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НДО 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виділення кишкових бактерій та середовище Саб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виділення грибів, лактобактагар 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виділення лактобактерій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шки з посівами підлягали інкубації при температурі </w:t>
      </w:r>
      <w:r w:rsidR="003E5E91">
        <w:rPr>
          <w:rFonts w:ascii="Times New Roman" w:eastAsia="Times New Roman" w:hAnsi="Times New Roman" w:cs="Times New Roman"/>
          <w:sz w:val="28"/>
          <w:szCs w:val="28"/>
        </w:rPr>
        <w:t>37º</w:t>
      </w:r>
      <w:r w:rsidR="00A16DEE" w:rsidRPr="004F5C9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</w:t>
      </w:r>
      <w:r w:rsidR="00A16DEE" w:rsidRPr="004F5C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E27DC6" w:rsidRPr="004F5C9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годин</w:t>
      </w:r>
      <w:r w:rsidR="00E27DC6" w:rsidRPr="004F5C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Подальша ідентифікація проводилася за загальноприйнятими методиками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3D19" w:rsidRPr="004F5C9F">
        <w:rPr>
          <w:rFonts w:ascii="Times New Roman" w:hAnsi="Times New Roman" w:cs="Times New Roman"/>
          <w:sz w:val="28"/>
          <w:szCs w:val="28"/>
          <w:lang w:eastAsia="uk-UA"/>
        </w:rPr>
        <w:t>[153,</w:t>
      </w:r>
      <w:r w:rsidR="001740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43D19" w:rsidRPr="004F5C9F">
        <w:rPr>
          <w:rFonts w:ascii="Times New Roman" w:hAnsi="Times New Roman" w:cs="Times New Roman"/>
          <w:sz w:val="28"/>
          <w:szCs w:val="28"/>
          <w:lang w:eastAsia="uk-UA"/>
        </w:rPr>
        <w:t>154].</w:t>
      </w:r>
      <w:r w:rsidR="001740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орієнтовної оцінки кількісного росту мікроорганізмів викор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стовувалися </w:t>
      </w:r>
      <w:r w:rsidR="0016344D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критерії</w:t>
      </w:r>
      <w:r w:rsidR="00E27DC6" w:rsidRPr="00174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підрахунок колоніє</w:t>
      </w:r>
      <w:r w:rsidR="000A682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</w:t>
      </w:r>
      <w:r w:rsidR="000A6823">
        <w:rPr>
          <w:rFonts w:ascii="Times New Roman" w:eastAsia="Times New Roman" w:hAnsi="Times New Roman" w:cs="Times New Roman"/>
          <w:sz w:val="28"/>
          <w:szCs w:val="28"/>
          <w:lang w:val="uk-UA"/>
        </w:rPr>
        <w:t>юю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чих одиниць</w:t>
      </w:r>
      <w:r w:rsidR="00E27DC6" w:rsidRPr="00174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каз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МОЗ СРСР від </w:t>
      </w:r>
      <w:r w:rsidR="00E27DC6" w:rsidRPr="00174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22.04.1985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1740B3" w:rsidRP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. №</w:t>
      </w:r>
      <w:r w:rsidR="00E27DC6" w:rsidRP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535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уніфікацію мікробіологічних методів дослідження, що застосовуються 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клініко-діагностичних лаборат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ріях лікувально-профілактичних установ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E27DC6" w:rsidRPr="00174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»: 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 w:rsidR="00E12E11">
        <w:rPr>
          <w:rFonts w:ascii="Times New Roman" w:hAnsi="Times New Roman" w:cs="Times New Roman"/>
          <w:sz w:val="28"/>
          <w:szCs w:val="28"/>
          <w:lang w:val="uk-UA"/>
        </w:rPr>
        <w:t>мізерне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зростання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одиничних колоній 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>(до 10) ≈ до 10</w:t>
      </w:r>
      <w:r w:rsidR="004F5C9F" w:rsidRPr="001740B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; 2 – </w:t>
      </w:r>
      <w:r w:rsidR="00E12E11">
        <w:rPr>
          <w:rFonts w:ascii="Times New Roman" w:hAnsi="Times New Roman" w:cs="Times New Roman"/>
          <w:sz w:val="28"/>
          <w:szCs w:val="28"/>
          <w:lang w:val="uk-UA"/>
        </w:rPr>
        <w:t xml:space="preserve">мізерне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зростання 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зро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тання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1740B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>колоній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 ≈ 10</w:t>
      </w:r>
      <w:r w:rsidR="004F5C9F" w:rsidRPr="001740B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; 3 – </w:t>
      </w:r>
      <w:r>
        <w:rPr>
          <w:rFonts w:ascii="Times New Roman" w:hAnsi="Times New Roman" w:cs="Times New Roman"/>
          <w:sz w:val="28"/>
          <w:szCs w:val="28"/>
          <w:lang w:val="uk-UA"/>
        </w:rPr>
        <w:t>помірне зростання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зростання </w:t>
      </w:r>
      <w:r w:rsidR="001E6736">
        <w:rPr>
          <w:rFonts w:ascii="Times New Roman" w:hAnsi="Times New Roman" w:cs="Times New Roman"/>
          <w:sz w:val="28"/>
          <w:szCs w:val="28"/>
          <w:lang w:val="uk-UA"/>
        </w:rPr>
        <w:t>багатьох кол</w:t>
      </w:r>
      <w:r w:rsidR="001E67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E6736">
        <w:rPr>
          <w:rFonts w:ascii="Times New Roman" w:hAnsi="Times New Roman" w:cs="Times New Roman"/>
          <w:sz w:val="28"/>
          <w:szCs w:val="28"/>
          <w:lang w:val="uk-UA"/>
        </w:rPr>
        <w:t>ній, що можуть бути пораховані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 (не </w:t>
      </w:r>
      <w:r w:rsidR="001E6736">
        <w:rPr>
          <w:rFonts w:ascii="Times New Roman" w:hAnsi="Times New Roman" w:cs="Times New Roman"/>
          <w:sz w:val="28"/>
          <w:szCs w:val="28"/>
          <w:lang w:val="uk-UA"/>
        </w:rPr>
        <w:t xml:space="preserve">менше 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>50) ≈ 10</w:t>
      </w:r>
      <w:r w:rsidR="004F5C9F" w:rsidRPr="001740B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; 4 – </w:t>
      </w:r>
      <w:r w:rsidR="001E6736">
        <w:rPr>
          <w:rFonts w:ascii="Times New Roman" w:hAnsi="Times New Roman" w:cs="Times New Roman"/>
          <w:sz w:val="28"/>
          <w:szCs w:val="28"/>
          <w:lang w:val="uk-UA"/>
        </w:rPr>
        <w:t>рясне зростання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E6736">
        <w:rPr>
          <w:rFonts w:ascii="Times New Roman" w:hAnsi="Times New Roman" w:cs="Times New Roman"/>
          <w:sz w:val="28"/>
          <w:szCs w:val="28"/>
          <w:lang w:val="uk-UA"/>
        </w:rPr>
        <w:t>суцільне зростання колоній, що не можуть бути пораховані,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 ≈ 10</w:t>
      </w:r>
      <w:r w:rsidR="004F5C9F" w:rsidRPr="001740B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="001E6736">
        <w:rPr>
          <w:rFonts w:ascii="Times New Roman" w:hAnsi="Times New Roman" w:cs="Times New Roman"/>
          <w:sz w:val="28"/>
          <w:szCs w:val="28"/>
          <w:lang w:val="uk-UA"/>
        </w:rPr>
        <w:t>та більше</w:t>
      </w:r>
      <w:r w:rsidR="004F5C9F" w:rsidRPr="001740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6736"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 проводився перерахунок КУО на </w:t>
      </w:r>
      <w:r w:rsidR="004F5C9F" w:rsidRPr="004F5C9F">
        <w:rPr>
          <w:rFonts w:ascii="Times New Roman" w:hAnsi="Times New Roman" w:cs="Times New Roman"/>
          <w:sz w:val="28"/>
          <w:szCs w:val="28"/>
        </w:rPr>
        <w:t>1 гр. (мл, см</w:t>
      </w:r>
      <w:r w:rsidR="004F5C9F" w:rsidRPr="004F5C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5C9F" w:rsidRPr="004F5C9F">
        <w:rPr>
          <w:rFonts w:ascii="Times New Roman" w:hAnsi="Times New Roman" w:cs="Times New Roman"/>
          <w:sz w:val="28"/>
          <w:szCs w:val="28"/>
        </w:rPr>
        <w:t xml:space="preserve">) </w:t>
      </w:r>
      <w:r w:rsidR="001E6736">
        <w:rPr>
          <w:rFonts w:ascii="Times New Roman" w:hAnsi="Times New Roman" w:cs="Times New Roman"/>
          <w:sz w:val="28"/>
          <w:szCs w:val="28"/>
          <w:lang w:val="uk-UA"/>
        </w:rPr>
        <w:t>досліджуваного матеріалу</w:t>
      </w:r>
      <w:r w:rsidR="004F5C9F" w:rsidRPr="004F5C9F">
        <w:rPr>
          <w:rFonts w:ascii="Times New Roman" w:hAnsi="Times New Roman" w:cs="Times New Roman"/>
          <w:sz w:val="28"/>
          <w:szCs w:val="28"/>
        </w:rPr>
        <w:t xml:space="preserve">. </w:t>
      </w:r>
      <w:r w:rsidR="001E6736">
        <w:rPr>
          <w:rFonts w:ascii="Times New Roman" w:hAnsi="Times New Roman" w:cs="Times New Roman"/>
          <w:sz w:val="28"/>
          <w:szCs w:val="28"/>
          <w:lang w:val="uk-UA"/>
        </w:rPr>
        <w:t xml:space="preserve">Межа роздільної здатності варіювала та складала </w:t>
      </w:r>
      <w:r w:rsidR="004F5C9F" w:rsidRPr="004F5C9F">
        <w:rPr>
          <w:rFonts w:ascii="Times New Roman" w:hAnsi="Times New Roman" w:cs="Times New Roman"/>
          <w:sz w:val="28"/>
          <w:szCs w:val="28"/>
        </w:rPr>
        <w:t>lg К</w:t>
      </w:r>
      <w:r w:rsidR="001E6736">
        <w:rPr>
          <w:rFonts w:ascii="Times New Roman" w:hAnsi="Times New Roman" w:cs="Times New Roman"/>
          <w:sz w:val="28"/>
          <w:szCs w:val="28"/>
          <w:lang w:val="uk-UA"/>
        </w:rPr>
        <w:t>УО</w:t>
      </w:r>
      <w:r w:rsidR="004F5C9F" w:rsidRPr="004F5C9F">
        <w:rPr>
          <w:rFonts w:ascii="Times New Roman" w:hAnsi="Times New Roman" w:cs="Times New Roman"/>
          <w:sz w:val="28"/>
          <w:szCs w:val="28"/>
        </w:rPr>
        <w:t>/г (мл, см</w:t>
      </w:r>
      <w:r w:rsidR="004F5C9F" w:rsidRPr="004F5C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5C9F" w:rsidRPr="004F5C9F">
        <w:rPr>
          <w:rFonts w:ascii="Times New Roman" w:hAnsi="Times New Roman" w:cs="Times New Roman"/>
          <w:sz w:val="28"/>
          <w:szCs w:val="28"/>
        </w:rPr>
        <w:t>)</w:t>
      </w:r>
      <w:r w:rsidR="004F5C9F" w:rsidRPr="004F5C9F">
        <w:rPr>
          <w:rFonts w:ascii="Times New Roman" w:hAnsi="Times New Roman" w:cs="Times New Roman"/>
          <w:i/>
          <w:sz w:val="28"/>
          <w:szCs w:val="28"/>
        </w:rPr>
        <w:t>.</w:t>
      </w:r>
    </w:p>
    <w:p w:rsidR="00B31A0C" w:rsidRPr="00AB0D8F" w:rsidRDefault="00B31A0C" w:rsidP="004F5C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DC6" w:rsidRPr="00AB0D8F" w:rsidRDefault="003E5E91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0D8F">
        <w:rPr>
          <w:rFonts w:ascii="Times New Roman" w:eastAsia="Times New Roman" w:hAnsi="Times New Roman" w:cs="Times New Roman"/>
          <w:i/>
          <w:sz w:val="28"/>
          <w:szCs w:val="28"/>
        </w:rPr>
        <w:t xml:space="preserve">2.4.4.   </w:t>
      </w:r>
      <w:r w:rsidR="000D0852" w:rsidRPr="00AB0D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Біофізичні методи дослідження</w:t>
      </w:r>
      <w:r w:rsidR="00E27DC6" w:rsidRPr="00AB0D8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27DC6" w:rsidRDefault="000D0852" w:rsidP="00E27DC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Визначення електрофоретичної рух</w:t>
      </w:r>
      <w:r w:rsidR="00876A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лив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ості ядер клітин букального еп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телію</w:t>
      </w:r>
      <w:r w:rsidR="00E27DC6"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(КБ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</w:t>
      </w:r>
      <w:r w:rsidR="00E27DC6" w:rsidRPr="0096673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F2F5A" w:rsidRPr="004F2F5A" w:rsidRDefault="004F2F5A" w:rsidP="00E27DC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4F2F5A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лектрофоретичн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F2F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рухливост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4F2F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ядер клітин букального епітелію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чали  за  методом  Шахбазова  (1986) в модифікації  Деньга О.В. ( 1997).</w:t>
      </w:r>
    </w:p>
    <w:p w:rsidR="00E27DC6" w:rsidRPr="003C0BEA" w:rsidRDefault="000D0852" w:rsidP="00E27DC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Метод, запропонований </w:t>
      </w:r>
      <w:r w:rsidR="00876A13" w:rsidRPr="003C0B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О.В. </w:t>
      </w:r>
      <w:r w:rsidR="004F2F5A">
        <w:rPr>
          <w:rFonts w:ascii="Times New Roman" w:eastAsia="Times New Roman" w:hAnsi="Times New Roman" w:cs="Times New Roman"/>
          <w:sz w:val="28"/>
          <w:szCs w:val="28"/>
          <w:lang w:val="uk-UA"/>
        </w:rPr>
        <w:t>Деньгою</w:t>
      </w:r>
      <w:r w:rsidR="00E27DC6" w:rsidRPr="003C0B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оцінці рівня загальної та місцевої неспецифічної резистентності організму, у тому числі порожнини рота, за комплексом вимірюваних зарядових параметрів КБЕ</w:t>
      </w:r>
      <w:r w:rsidR="00E27DC6" w:rsidRPr="003C0B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відсотка рух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мих ядер та плазмолем клітин, їхніх амплітуд та</w:t>
      </w:r>
      <w:r w:rsidR="00876A1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отже</w:t>
      </w:r>
      <w:r w:rsidR="003C0BE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швидкості змі</w:t>
      </w:r>
      <w:r w:rsidR="004F2F5A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вання, співвідношення цих амплітуд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7DC6" w:rsidRPr="003C0B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</w:t>
      </w:r>
      <w:r w:rsidR="007861B8" w:rsidRPr="003C0B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237</w:t>
      </w:r>
      <w:r w:rsidR="00E27DC6" w:rsidRPr="003C0B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].</w:t>
      </w:r>
    </w:p>
    <w:p w:rsidR="00E27DC6" w:rsidRPr="00A46BC4" w:rsidRDefault="000D0852" w:rsidP="00E27DC6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Завдяки даній методиці можна об</w:t>
      </w:r>
      <w:r w:rsidRPr="00A46BC4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єктивно оцінити стан клітинного мет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болізму, а, відповідно, й загальну функціональну активність клітини</w:t>
      </w:r>
      <w:r w:rsidR="00E27DC6" w:rsidRPr="00A46B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7DC6" w:rsidRPr="00966737" w:rsidRDefault="000D0852" w:rsidP="001740B3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Клітини букального епітелію брали легким зішкрібом </w:t>
      </w:r>
      <w:r w:rsidR="000C6A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натщесерц</w:t>
      </w:r>
      <w:r w:rsidR="007916A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після полоскання порожнини рота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Препарати готувалися за методикою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7DC6" w:rsidRPr="007861B8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7861B8" w:rsidRPr="007861B8">
        <w:rPr>
          <w:rFonts w:ascii="Times New Roman" w:eastAsia="Times New Roman" w:hAnsi="Times New Roman" w:cs="Times New Roman"/>
          <w:color w:val="000000"/>
          <w:sz w:val="28"/>
          <w:szCs w:val="28"/>
        </w:rPr>
        <w:t>237</w:t>
      </w:r>
      <w:r w:rsidR="00E27DC6" w:rsidRPr="007861B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E27DC6" w:rsidRPr="007861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соток поживних ядер та плазмолем КБЕ оцінювався за допомогою біологі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мікроскопу при збільшенні у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480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разів для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непошкоджених клітин у кожному препараті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Амплітуди зміщення ядер та плазмолем оцінювалися за допомогою окулярної</w:t>
      </w:r>
      <w:r w:rsidR="007916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лінійки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966737" w:rsidRDefault="00E27DC6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C6" w:rsidRPr="00966737" w:rsidRDefault="000D0852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2.5.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 вивчення властивостей ротової рідини</w:t>
      </w:r>
      <w:r w:rsidR="00E27DC6" w:rsidRPr="009667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7DC6" w:rsidRPr="00AB0D8F" w:rsidRDefault="000D0852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0D8F">
        <w:rPr>
          <w:rFonts w:ascii="Times New Roman" w:eastAsia="Times New Roman" w:hAnsi="Times New Roman" w:cs="Times New Roman"/>
          <w:i/>
          <w:sz w:val="28"/>
          <w:szCs w:val="28"/>
        </w:rPr>
        <w:t xml:space="preserve">2.5.1. </w:t>
      </w:r>
      <w:r w:rsidRPr="00AB0D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Вивчення швидкості салівації</w:t>
      </w:r>
      <w:r w:rsidR="00E27DC6" w:rsidRPr="00AB0D8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13E5" w:rsidRPr="00137D8A" w:rsidRDefault="000D0852" w:rsidP="00E27D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Швидкість салівації</w:t>
      </w:r>
      <w:r w:rsidR="001740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визначали шляхом замірювання нестимульованої ротової рідини, зібраної протягом 5-ти хвилин у градуйовані мензурки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ниці виміру швидкості салівації 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– мл/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хв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Швидкість салівації визначали за формулою</w:t>
      </w:r>
      <w:r w:rsidR="003D13E5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27DC6" w:rsidRPr="00137D8A" w:rsidRDefault="00E27DC6" w:rsidP="00E27D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7DC6" w:rsidRPr="00966737" w:rsidRDefault="00E27DC6" w:rsidP="00E2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96673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9" w:dyaOrig="620">
          <v:shape id="_x0000_i1027" type="#_x0000_t75" style="width:14.25pt;height:30pt" o:ole="">
            <v:imagedata r:id="rId13" o:title=""/>
          </v:shape>
          <o:OLEObject Type="Embed" ProgID="Equation.3" ShapeID="_x0000_i1027" DrawAspect="Content" ObjectID="_1559977760" r:id="rId14"/>
        </w:objec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ab/>
      </w:r>
      <w:r w:rsidRPr="00966737">
        <w:rPr>
          <w:rFonts w:ascii="Times New Roman" w:eastAsia="Times New Roman" w:hAnsi="Times New Roman" w:cs="Times New Roman"/>
          <w:sz w:val="28"/>
          <w:szCs w:val="28"/>
        </w:rPr>
        <w:tab/>
      </w:r>
      <w:r w:rsidRPr="00966737">
        <w:rPr>
          <w:rFonts w:ascii="Times New Roman" w:eastAsia="Times New Roman" w:hAnsi="Times New Roman" w:cs="Times New Roman"/>
          <w:sz w:val="28"/>
          <w:szCs w:val="28"/>
        </w:rPr>
        <w:tab/>
      </w:r>
      <w:r w:rsidRPr="00966737">
        <w:rPr>
          <w:rFonts w:ascii="Times New Roman" w:eastAsia="Times New Roman" w:hAnsi="Times New Roman" w:cs="Times New Roman"/>
          <w:sz w:val="28"/>
          <w:szCs w:val="28"/>
        </w:rPr>
        <w:tab/>
      </w:r>
      <w:r w:rsidRPr="009667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7DC6" w:rsidRDefault="000D0852" w:rsidP="00E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е V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</w:t>
      </w:r>
      <w:r w:rsidRPr="000D0852">
        <w:rPr>
          <w:rFonts w:ascii="Times New Roman" w:eastAsia="Times New Roman" w:hAnsi="Times New Roman" w:cs="Times New Roman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єм слини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, t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D0852" w:rsidRPr="000D0852" w:rsidRDefault="000D0852" w:rsidP="00E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7DC6" w:rsidRPr="00AB0D8F" w:rsidRDefault="00E27DC6" w:rsidP="003D13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B0D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2.5.2. </w:t>
      </w:r>
      <w:r w:rsidR="00F401BB" w:rsidRPr="00AB0D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Вивчення в'язкості ротової рідини</w:t>
      </w:r>
      <w:r w:rsidRPr="00AB0D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3D13E5" w:rsidRDefault="00E27DC6" w:rsidP="00AB0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401B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</w:t>
      </w:r>
      <w:r w:rsidR="00F401BB" w:rsidRPr="00137D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'</w:t>
      </w:r>
      <w:r w:rsidR="00F401B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язкість ротової рідини</w:t>
      </w:r>
      <w:r w:rsidR="001740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була досліджена віскозиметром </w:t>
      </w:r>
      <w:r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Оствальда 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триразово через </w:t>
      </w:r>
      <w:r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2-3 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години після прийому їжі</w:t>
      </w:r>
      <w:r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Забір ротової рідини здійсн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вали за методикою, запропонованою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В.К.</w:t>
      </w:r>
      <w:r w:rsidR="001740B3">
        <w:rPr>
          <w:lang w:val="uk-UA"/>
        </w:rPr>
        <w:t> 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Леонть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 w:rsidR="001740B3">
        <w:rPr>
          <w:lang w:val="uk-UA"/>
        </w:rPr>
        <w:t xml:space="preserve">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Петровичем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0EC6" w:rsidRPr="007861B8">
        <w:rPr>
          <w:rFonts w:ascii="Times New Roman" w:eastAsia="Times New Roman" w:hAnsi="Times New Roman" w:cs="Times New Roman"/>
          <w:color w:val="000000"/>
          <w:sz w:val="28"/>
          <w:szCs w:val="28"/>
        </w:rPr>
        <w:t>[23</w:t>
      </w:r>
      <w:r w:rsidR="006A0EC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A0EC6" w:rsidRPr="007861B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B0D8F" w:rsidRPr="00AB0D8F" w:rsidRDefault="00AB0D8F" w:rsidP="00AB0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DC6" w:rsidRPr="00966737" w:rsidRDefault="00E27DC6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b/>
          <w:sz w:val="28"/>
          <w:szCs w:val="28"/>
        </w:rPr>
        <w:t xml:space="preserve">2.6. </w:t>
      </w:r>
      <w:r w:rsidR="00F401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Методики комплексного лікування уражень </w:t>
      </w:r>
      <w:r w:rsidRPr="00966737">
        <w:rPr>
          <w:rFonts w:ascii="Times New Roman" w:eastAsia="Times New Roman" w:hAnsi="Times New Roman" w:cs="Times New Roman"/>
          <w:b/>
          <w:sz w:val="28"/>
          <w:szCs w:val="28"/>
        </w:rPr>
        <w:t xml:space="preserve">СОПР </w:t>
      </w:r>
      <w:r w:rsidR="00B25D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F401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дітей</w:t>
      </w:r>
      <w:r w:rsidR="00B25D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F401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25D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 страждають на </w:t>
      </w:r>
      <w:r w:rsidR="00F401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гостри</w:t>
      </w:r>
      <w:r w:rsidR="00B25D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  <w:r w:rsidR="00F401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лімфобластни</w:t>
      </w:r>
      <w:r w:rsidR="00B25D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  <w:r w:rsidR="00F401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лейкоз</w:t>
      </w:r>
      <w:r w:rsidRPr="009667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7DC6" w:rsidRPr="00137D8A" w:rsidRDefault="00F94642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 діти,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проводили клінічні дослідження, були розподілені на 2 групи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основну та порівняння. Дітям даних груп видаляли зубний наліт та проводили санацію порожнини рота. Систематично повторювали та кон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ролювали гігієнічний догляд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27DC6" w:rsidRPr="00966737" w:rsidRDefault="00F94642" w:rsidP="00E27DC6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сі діти обох груп гігієну порожнини рота здійснювали за допомогою чи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щення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зубів дуже м</w:t>
      </w:r>
      <w:r w:rsidR="001740B3" w:rsidRP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якими або м</w:t>
      </w:r>
      <w:r w:rsidR="001740B3" w:rsidRP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якими дитячими зубними щітками та д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тячою зубною пастою (відповідно до віку)</w:t>
      </w:r>
      <w:r w:rsidR="000F1A35" w:rsidRP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протизапального зубного елікс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 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401BB" w:rsidRPr="00F401B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Лізомукоїд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, що не містить спирту, який був розроблений відділом біот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хнологій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E27DC6" w:rsidRP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Інститут стоматології та щелепно-лицевої хірургії </w:t>
      </w:r>
      <w:r w:rsidR="00E27DC6" w:rsidRPr="00521A22">
        <w:rPr>
          <w:rFonts w:ascii="Times New Roman" w:eastAsia="Times New Roman" w:hAnsi="Times New Roman" w:cs="Times New Roman"/>
          <w:sz w:val="28"/>
          <w:szCs w:val="28"/>
          <w:lang w:val="uk-UA"/>
        </w:rPr>
        <w:t>АМНУ</w:t>
      </w:r>
      <w:r w:rsidR="00E27DC6" w:rsidRP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(зав. 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відділом </w:t>
      </w:r>
      <w:r w:rsidR="00E27DC6" w:rsidRP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д.б.н., проф. 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Левиц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кий А.П.). 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 даного еліксиру входить природн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й фермент з яєчного білка лізоцим, що має здатність ро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чиняти клітинну оболонку бактерій, пригнічувати розмноження вірусів, ст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мулювати імунітет, здійснюючи при цьому протизапальну дію, що посил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присутності цетавлона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Овомукоїд стабілізує та захищає лізоцим від руйнівної дії мікробних протеаз, а також має протизапальну дію, не пригн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чуючи при цьому життєдіяльність корисної мікрофлори. Полоскання поро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нини рота за допомогою зубного еліксиру проводили два рази на день за 30 хвилин до прийому їжі протягом 1 місяця 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дозуванн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40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чайна ложка на 50 мл очищеної води.</w:t>
      </w:r>
    </w:p>
    <w:p w:rsidR="00E27DC6" w:rsidRPr="00966737" w:rsidRDefault="00F401BB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Дітям основної групи, </w:t>
      </w:r>
      <w:r w:rsidR="001740B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крім гігієни порожнини рота, призначали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роблені лікувально-профілактичні комплекси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(ЛПК)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 від періоду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ребігу захворювання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DFDFD"/>
          <w:lang w:val="uk-UA"/>
        </w:rPr>
        <w:t>перший варіант</w:t>
      </w:r>
      <w:r w:rsidR="001740B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місцевого лікування </w:t>
      </w:r>
      <w:r w:rsidR="001B76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застосовувався у гострий період та</w:t>
      </w:r>
      <w:r w:rsidR="00F946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під час</w:t>
      </w:r>
      <w:r w:rsidR="001B76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рецидив</w:t>
      </w:r>
      <w:r w:rsidR="00F946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</w:t>
      </w:r>
      <w:r w:rsidR="001B76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хвороби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,</w:t>
      </w:r>
      <w:r w:rsidR="001B76E5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DFDFD"/>
          <w:lang w:val="uk-UA"/>
        </w:rPr>
        <w:t xml:space="preserve"> другий варіант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1740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– </w:t>
      </w:r>
      <w:r w:rsidR="00F946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</w:t>
      </w:r>
      <w:r w:rsidR="001B76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період ремісії захворювання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</w:p>
    <w:p w:rsidR="00E27DC6" w:rsidRPr="00A6350C" w:rsidRDefault="00A6350C" w:rsidP="00E27DC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Вибір препаратів для розробки способів лікування та профілактики продиктований даними, отриманими </w:t>
      </w:r>
      <w:r w:rsidR="00F9464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 мікробіологічних методів дослідження. Тому розробка </w:t>
      </w:r>
      <w:r w:rsidR="00E27DC6" w:rsidRP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ЛПК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даного контингенту дітей зумовлена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необхідністю як регулювання </w:t>
      </w:r>
      <w:r w:rsidR="006F7E0A">
        <w:rPr>
          <w:rFonts w:ascii="Times New Roman" w:eastAsia="Times New Roman" w:hAnsi="Times New Roman" w:cs="Times New Roman"/>
          <w:sz w:val="28"/>
          <w:szCs w:val="28"/>
          <w:lang w:val="uk-UA"/>
        </w:rPr>
        <w:t>фізіологіч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ної рівноваги мікрофлори </w:t>
      </w:r>
      <w:r w:rsidR="00F9464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нині рота, так і підвищення природного захисту та прискорення стабілізації регенеративних процесів заживлення</w:t>
      </w:r>
      <w:r w:rsidR="00E27DC6" w:rsidRP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СОПР.</w:t>
      </w:r>
    </w:p>
    <w:p w:rsidR="00E27DC6" w:rsidRPr="00A84B54" w:rsidRDefault="008341BC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E27DC6" w:rsidRPr="000936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</w:t>
      </w:r>
      <w:r w:rsidR="00A6350C" w:rsidRPr="000936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іовестин</w:t>
      </w:r>
      <w:r w:rsidR="00E27DC6" w:rsidRPr="000936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–лакто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35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="00E27DC6" w:rsidRP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>пробіотичний препарат, до складу якого входять</w:t>
      </w:r>
      <w:r w:rsidR="00E27DC6" w:rsidRP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Bifidobacterium</w:t>
      </w:r>
      <w:r w:rsidR="00E27DC6" w:rsidRP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ifidum</w:t>
      </w:r>
      <w:r w:rsidR="00E27DC6" w:rsidRP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792; 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Bifidobacterium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adolescentis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MC</w:t>
      </w:r>
      <w:r w:rsidR="00E27DC6" w:rsidRP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-42 (109 К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УО</w:t>
      </w:r>
      <w:r w:rsidR="00E27DC6" w:rsidRP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/мл); 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Lactobacillus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plantarum</w:t>
      </w:r>
      <w:r w:rsidR="00E27DC6" w:rsidRP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8Р АЗ (108 К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УО</w:t>
      </w:r>
      <w:r w:rsidR="00E27DC6" w:rsidRP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/мл); 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біфідогенні фактори; продукти життєдіяльності лакто- та біфідобактерій. Позитивною відмінною характеристикою мікроорганізмів, що входять до складу препарату Біове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</w:t>
      </w:r>
      <w:r w:rsidR="00A6350C" w:rsidRPr="00093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н-</w:t>
      </w:r>
      <w:r w:rsidR="006B7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лакто, є їх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максимальна здатність до швидкого розмноження у кішківн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ку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Препарат ефективний при проведенні тривалої гормональної, променевої терапії, застосуванні високих доз антибіотиків та цитостатиків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Одним з п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зитивних моментів даного препарату є можливість його застосування </w:t>
      </w:r>
      <w:r w:rsidR="00F94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рідкій формі, що актуально для терапії дітей молодшого віку. Препарат призначали за 30 хвилин до їжі протягом 1 місяця у відповідному віковому дозуванні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дітям </w:t>
      </w:r>
      <w:r w:rsidR="00F94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до 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>років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>по 1 мл на кожний рік життя на добу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дітям до 12 років </w:t>
      </w:r>
      <w:r w:rsidRPr="00A84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 мл лікувального засобу на добу, діти старш</w:t>
      </w:r>
      <w:r w:rsidR="00F9464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 років приймали 12 мл </w:t>
      </w:r>
      <w:r w:rsidR="00A6350C" w:rsidRPr="006B7FAC">
        <w:rPr>
          <w:rFonts w:ascii="Times New Roman" w:eastAsia="Times New Roman" w:hAnsi="Times New Roman" w:cs="Times New Roman"/>
          <w:sz w:val="28"/>
          <w:szCs w:val="28"/>
          <w:lang w:val="uk-UA"/>
        </w:rPr>
        <w:t>Біовестин-лакто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добу</w:t>
      </w:r>
      <w:r w:rsidR="00E27DC6" w:rsidRPr="00A8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більш комфортного прийому рекоменд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вали розвести </w:t>
      </w:r>
      <w:r w:rsidR="00F94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разову дозу </w:t>
      </w:r>
      <w:r w:rsidR="00F94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кип</w:t>
      </w:r>
      <w:r w:rsidR="006B7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A63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яченій охолодженій воді, молоці, соку.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27DC6" w:rsidRPr="00966737" w:rsidRDefault="008341BC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E27DC6" w:rsidRPr="0066626B">
        <w:rPr>
          <w:rFonts w:ascii="Times New Roman" w:eastAsia="Times New Roman" w:hAnsi="Times New Roman" w:cs="Times New Roman"/>
          <w:i/>
          <w:sz w:val="28"/>
          <w:szCs w:val="28"/>
        </w:rPr>
        <w:t>Канд</w:t>
      </w:r>
      <w:r w:rsidR="00F9464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</w:t>
      </w:r>
      <w:r w:rsidR="00E27DC6" w:rsidRPr="0066626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6662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 w:rsidR="00E27DC6" w:rsidRPr="006662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6350C" w:rsidRPr="0066626B">
        <w:rPr>
          <w:rFonts w:ascii="Times New Roman" w:eastAsia="Times New Roman" w:hAnsi="Times New Roman" w:cs="Times New Roman"/>
          <w:sz w:val="28"/>
          <w:szCs w:val="28"/>
          <w:lang w:val="uk-UA"/>
        </w:rPr>
        <w:t>протигрибковий лікувальний засіб</w:t>
      </w:r>
      <w:r w:rsidR="00E27DC6" w:rsidRPr="006662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50C" w:rsidRPr="006662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має широкий спектр дії за рахунок діючої речовини </w:t>
      </w:r>
      <w:r w:rsidRPr="0066626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6350C" w:rsidRPr="006662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клотримазолу</w:t>
      </w:r>
      <w:r w:rsidR="00E27DC6" w:rsidRPr="006662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>антигрибковий ефект якого зумовлений порушенням продукції ергостерина, який входить до складу мембрани клітин грибів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результаті дії клотримазолу проникненість кл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>тинної мембрани змінюється, що й призводить до лізису клітини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Обробку уражених ділянок слизової оболонки антимікотичним розчином для поро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A63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нини рота </w:t>
      </w:r>
      <w:r w:rsidR="006662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Канд</w:t>
      </w:r>
      <w:r w:rsidR="00F946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д</w:t>
      </w:r>
      <w:r w:rsidR="006662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A635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проводили 3 рази на день по 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20 </w:t>
      </w:r>
      <w:r w:rsidR="00A635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крапель через 30 хвилин після їжі протягом 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10 - 14 </w:t>
      </w:r>
      <w:r w:rsidR="00A635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днів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</w:p>
    <w:p w:rsidR="00E27DC6" w:rsidRPr="008714CE" w:rsidRDefault="0066626B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137D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Сангвір</w:t>
      </w:r>
      <w:r w:rsidR="00F9464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</w:t>
      </w:r>
      <w:r w:rsidR="00137D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е суміш бісульфату двох близьких за структурою та властивостям</w:t>
      </w:r>
      <w:r w:rsidR="006B7FA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четвертинних бензофенантрид</w:t>
      </w:r>
      <w:r w:rsidR="00F9464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нових алкалоїдів </w:t>
      </w:r>
      <w:r w:rsidR="006B7FAC">
        <w:rPr>
          <w:rFonts w:ascii="Times New Roman" w:eastAsia="Times New Roman" w:hAnsi="Times New Roman" w:cs="Times New Roman"/>
          <w:sz w:val="28"/>
          <w:szCs w:val="28"/>
          <w:lang w:val="uk-UA"/>
        </w:rPr>
        <w:t>сангвінарин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у та хелер</w:t>
      </w:r>
      <w:r w:rsidR="006B7FA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трину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Сангвір</w:t>
      </w:r>
      <w:r w:rsidR="00F946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трин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» 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має широкий спектр антимікробної активн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сті, діє на грампозитивні та грамнегативні бактерії, дріжджоподібні та міц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лярні гриби, активний у відношенні</w:t>
      </w:r>
      <w:r w:rsidR="00F94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антибіотикорезистентних штамів мі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роорганізмів, має бактеріостатичну дію</w:t>
      </w:r>
      <w:r w:rsidR="00E27DC6" w:rsidRPr="006662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основі механізму антимікробної дії препарату лежить пригнічення бактеріальної ну</w:t>
      </w:r>
      <w:r w:rsidR="004F2F5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леази, порушення процесів проникненості стінок клітини, перегородок ділення, будови ну</w:t>
      </w:r>
      <w:r w:rsidR="004F2F5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леотиду</w:t>
      </w:r>
      <w:r w:rsidR="00E27DC6" w:rsidRP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лоскання </w:t>
      </w:r>
      <w:r w:rsidR="00E27DC6" w:rsidRPr="008714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СОПР 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антимікробним препаратом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Сангвір</w:t>
      </w:r>
      <w:r w:rsidR="00F946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трин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 w:rsidR="00E27DC6" w:rsidRPr="008714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проводили 3 р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а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зи на день через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30 хвилин після їжі протягом 10-14 днів у розв</w:t>
      </w:r>
      <w:r w:rsidR="00D32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денні 40-</w:t>
      </w:r>
      <w:r w:rsidR="00137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50 крапель на 200 мл води</w:t>
      </w:r>
      <w:r w:rsidR="00E27DC6" w:rsidRPr="008714C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.</w:t>
      </w:r>
    </w:p>
    <w:p w:rsidR="00E27DC6" w:rsidRPr="0026385E" w:rsidRDefault="00F94642" w:rsidP="00F94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  </w:t>
      </w:r>
      <w:r w:rsidR="006662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137D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Виноградний</w:t>
      </w:r>
      <w:r w:rsidR="006662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» 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мукозальний гель, розроблений відділом біотехнології ДУ 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37D8A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 стоматології та щелепно-лицевої хірургії НАМН України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(зав.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відділом 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>– д.б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27DC6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ол.н., проф.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Левиц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кий А.П.),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який містить велику кількість поліфенольних речовин з листя винограду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 поліфенолів винограду виявлені біофлавоноїди, що мають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Р-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вітамінну активність, </w:t>
      </w:r>
      <w:r w:rsidR="004673C9">
        <w:rPr>
          <w:rFonts w:ascii="Times New Roman" w:eastAsia="Times New Roman" w:hAnsi="Times New Roman" w:cs="Times New Roman"/>
          <w:sz w:val="28"/>
          <w:szCs w:val="28"/>
          <w:lang w:val="uk-UA"/>
        </w:rPr>
        <w:t>антоціани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, яким властива противиразкова дія, хлорогенова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кислота, що спричиняє антимі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робну та гепатопротекторну дію, а також ресвератрол, який пригнічує розв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ток злоякісних новоутворень. Обробку уражених ділянок СОПР проводили через годину після їжі вранці протягом 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66626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днів у випадку першого варіа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ту лікування та два рази на день через годину після їжі протягом 1 місяця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другому варіанті лікування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7DC6" w:rsidRPr="008213D8" w:rsidRDefault="0066626B" w:rsidP="00E27D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E27DC6" w:rsidRPr="0026385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</w:t>
      </w:r>
      <w:r w:rsidR="0026385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вертулін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мукозальний гель, розроблений відділом біотехнології ДУ 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 стоматології та щелепно-лицевої хірургії НАМН України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(зав.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відділом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д.б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ол.н., проф. </w:t>
      </w:r>
      <w:r w:rsidR="00E27DC6" w:rsidRPr="008B55E3">
        <w:rPr>
          <w:rFonts w:ascii="Times New Roman" w:eastAsia="Times New Roman" w:hAnsi="Times New Roman" w:cs="Times New Roman"/>
          <w:sz w:val="28"/>
          <w:szCs w:val="28"/>
          <w:lang w:val="uk-UA"/>
        </w:rPr>
        <w:t>Левиц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E27DC6" w:rsidRPr="008B5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кий А.П.).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E27DC6" w:rsidRPr="008B55E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К</w:t>
      </w:r>
      <w:r w:rsidR="0026385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вертулін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» </w:t>
      </w:r>
      <w:r w:rsidR="0026385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складається з трьох компонентів</w:t>
      </w:r>
      <w:r w:rsidR="00E27DC6" w:rsidRPr="008B5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пребіотик</w:t>
      </w:r>
      <w:r w:rsidR="004F2F5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інуліну з коренів цикорі</w:t>
      </w:r>
      <w:r w:rsidR="00F9464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, флавоноїда кверцетину з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одів софори та цитрату кальці</w:t>
      </w:r>
      <w:r w:rsidR="00F9464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E27DC6" w:rsidRPr="008B55E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Інулін є одним </w:t>
      </w:r>
      <w:r w:rsidR="00283E9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з сильних пребіотиків, що сприяють зростанню та розмноженню пробіотичної мікрофлори. Кверцетин має виражені мукозопротекторні та гепатопротекторні властивості за рахунок здатності спричиняти антиоксидантну дію, пригнічувати активність дестру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тивних ферментів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гіалуронідази, колагенази, еластази, фосфоліпази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E27DC6" w:rsidRP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трат кальцію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біодоступна форма кальцію, що має мукозопроте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торні та протизапальні властивості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Аплікації гел</w:t>
      </w:r>
      <w:r w:rsidR="00283E9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ясна та СОПР пров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дили через годину після їжі ввечері протягом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днів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3D8" w:rsidRPr="00865B8D" w:rsidRDefault="008213D8" w:rsidP="00821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lastRenderedPageBreak/>
        <w:t>«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>Катомас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препарат антиоксидантних вітамінів та провітамінів на основі збалансованої суміші рослинних масел (соєве, кукурудзяне, гірчичне масло,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beta-каротин, alpha-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gamma-</w:t>
      </w:r>
      <w:r w:rsidRPr="00DE581B">
        <w:rPr>
          <w:rFonts w:ascii="Times New Roman" w:eastAsia="Times New Roman" w:hAnsi="Times New Roman" w:cs="Times New Roman"/>
          <w:sz w:val="28"/>
          <w:szCs w:val="28"/>
        </w:rPr>
        <w:t>токоферол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E581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Препарат є натуральним продуктом на основі цілющого масла сої, має чудові рано- та виразкозаго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властивост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, а за ефективністю перевершує обліпихове масло, але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дміну від нього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має протипоказань для внутрішнього застосування при захворюваннях жовчо-вивідних шляхів, оскільки є легким жовчогінним зас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бом</w:t>
      </w:r>
      <w:r w:rsidRPr="00DE58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Поліненасичені жирні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кислоти рослинних масел катомаса є незамінними в обміні речовин, що регулюють багато функцій організму, включаючи </w:t>
      </w:r>
      <w:r w:rsidRPr="00FE5747">
        <w:rPr>
          <w:rFonts w:ascii="Times New Roman" w:eastAsia="Times New Roman" w:hAnsi="Times New Roman" w:cs="Times New Roman"/>
          <w:sz w:val="28"/>
          <w:szCs w:val="28"/>
          <w:lang w:val="uk-UA"/>
        </w:rPr>
        <w:t>си</w:t>
      </w:r>
      <w:r w:rsidRPr="00FE5747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FE5747">
        <w:rPr>
          <w:rFonts w:ascii="Times New Roman" w:eastAsia="Times New Roman" w:hAnsi="Times New Roman" w:cs="Times New Roman"/>
          <w:sz w:val="28"/>
          <w:szCs w:val="28"/>
          <w:lang w:val="uk-UA"/>
        </w:rPr>
        <w:t>тез холестерину, передачу нервових імпульсів, стан стінок кров</w:t>
      </w:r>
      <w:r w:rsidR="004F2F5A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E5747">
        <w:rPr>
          <w:rFonts w:ascii="Times New Roman" w:eastAsia="Times New Roman" w:hAnsi="Times New Roman" w:cs="Times New Roman"/>
          <w:sz w:val="28"/>
          <w:szCs w:val="28"/>
          <w:lang w:val="uk-UA"/>
        </w:rPr>
        <w:t>носних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дин, жировий обмін у печінці</w:t>
      </w:r>
      <w:r w:rsidRP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прискорення процесів епітелізації викор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стовували аплікації препарату антиоксидантних вітамінів та провітамінів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Pr="00865B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Катомас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» </w:t>
      </w:r>
      <w:r w:rsidRPr="00865B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2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рази на день через 30 хвилин після їжі протягом </w:t>
      </w:r>
      <w:r w:rsidRPr="00865B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14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днів</w:t>
      </w:r>
      <w:r w:rsidRPr="00865B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поч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наючи з третього тижня лікування</w:t>
      </w:r>
      <w:r w:rsidRPr="00865B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.</w:t>
      </w:r>
    </w:p>
    <w:p w:rsidR="00521A22" w:rsidRPr="00AE55D9" w:rsidRDefault="00521A22" w:rsidP="008213D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27DC6" w:rsidRPr="00966737" w:rsidRDefault="00E27DC6" w:rsidP="00E27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13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>Таблиц</w:t>
      </w:r>
      <w:r w:rsidR="0026385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2.4</w:t>
      </w:r>
    </w:p>
    <w:p w:rsidR="00E27DC6" w:rsidRPr="00AB0D8F" w:rsidRDefault="00E27DC6" w:rsidP="00E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946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B0D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F946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AB0D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385E" w:rsidRPr="00AB0D8F">
        <w:rPr>
          <w:rFonts w:ascii="Times New Roman" w:eastAsia="Times New Roman" w:hAnsi="Times New Roman" w:cs="Times New Roman"/>
          <w:sz w:val="28"/>
          <w:szCs w:val="28"/>
          <w:lang w:val="uk-UA"/>
        </w:rPr>
        <w:t>аріанти лікування СОПР при ГЛЛ по групах дітей</w:t>
      </w: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41"/>
        <w:gridCol w:w="5954"/>
        <w:gridCol w:w="1732"/>
      </w:tblGrid>
      <w:tr w:rsidR="00E27DC6" w:rsidRPr="00966737" w:rsidTr="00E27DC6">
        <w:trPr>
          <w:trHeight w:val="636"/>
        </w:trPr>
        <w:tc>
          <w:tcPr>
            <w:tcW w:w="2268" w:type="dxa"/>
            <w:gridSpan w:val="2"/>
            <w:vAlign w:val="center"/>
          </w:tcPr>
          <w:p w:rsidR="00E27DC6" w:rsidRPr="00966737" w:rsidRDefault="0026385E" w:rsidP="002638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E27DC6" w:rsidRPr="00966737" w:rsidRDefault="0026385E" w:rsidP="002638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Варіанти лікування</w:t>
            </w:r>
          </w:p>
        </w:tc>
        <w:tc>
          <w:tcPr>
            <w:tcW w:w="1732" w:type="dxa"/>
            <w:vAlign w:val="center"/>
          </w:tcPr>
          <w:p w:rsidR="00E27DC6" w:rsidRPr="00966737" w:rsidRDefault="0026385E" w:rsidP="002638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пацієнтів</w:t>
            </w:r>
          </w:p>
        </w:tc>
      </w:tr>
      <w:tr w:rsidR="00E27DC6" w:rsidRPr="00966737" w:rsidTr="00E27DC6">
        <w:trPr>
          <w:trHeight w:val="489"/>
        </w:trPr>
        <w:tc>
          <w:tcPr>
            <w:tcW w:w="1827" w:type="dxa"/>
            <w:vMerge w:val="restart"/>
            <w:vAlign w:val="center"/>
          </w:tcPr>
          <w:p w:rsidR="00E27DC6" w:rsidRPr="00966737" w:rsidRDefault="0026385E" w:rsidP="002638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441" w:type="dxa"/>
            <w:vAlign w:val="center"/>
          </w:tcPr>
          <w:p w:rsidR="00E27DC6" w:rsidRPr="00966737" w:rsidRDefault="00E27DC6" w:rsidP="00E27D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954" w:type="dxa"/>
            <w:vAlign w:val="center"/>
          </w:tcPr>
          <w:p w:rsidR="00E27DC6" w:rsidRPr="00966737" w:rsidRDefault="0066626B" w:rsidP="00E27D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ГПР + «</w:t>
            </w:r>
            <w:r w:rsidR="00E27DC6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ізомукоїд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27DC6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мукозальний гель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ноградний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27DC6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Квертулін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27DC6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пробіотик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27DC6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83E97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283E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83E97">
              <w:rPr>
                <w:rFonts w:ascii="Times New Roman" w:eastAsia="Times New Roman" w:hAnsi="Times New Roman" w:cs="Times New Roman"/>
                <w:sz w:val="28"/>
                <w:szCs w:val="28"/>
              </w:rPr>
              <w:t>стин-</w:t>
            </w:r>
            <w:r w:rsidR="00E27DC6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27DC6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27DC6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Канд</w:t>
            </w:r>
            <w:r w:rsidR="00F946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27DC6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27DC6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</w:t>
            </w:r>
          </w:p>
          <w:p w:rsidR="00E27DC6" w:rsidRPr="0066626B" w:rsidRDefault="00E27DC6" w:rsidP="00F94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Сангв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946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трин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Катомас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32" w:type="dxa"/>
            <w:vAlign w:val="center"/>
          </w:tcPr>
          <w:p w:rsidR="00E27DC6" w:rsidRPr="00966737" w:rsidRDefault="00E27DC6" w:rsidP="00E27D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27DC6" w:rsidRPr="00966737" w:rsidTr="00E27DC6">
        <w:trPr>
          <w:trHeight w:val="147"/>
        </w:trPr>
        <w:tc>
          <w:tcPr>
            <w:tcW w:w="1827" w:type="dxa"/>
            <w:vMerge/>
            <w:vAlign w:val="center"/>
          </w:tcPr>
          <w:p w:rsidR="00E27DC6" w:rsidRPr="00966737" w:rsidRDefault="00E27DC6" w:rsidP="00E27D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27DC6" w:rsidRPr="00966737" w:rsidRDefault="00E27DC6" w:rsidP="00E27D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954" w:type="dxa"/>
            <w:vAlign w:val="center"/>
          </w:tcPr>
          <w:p w:rsidR="00E27DC6" w:rsidRPr="0066626B" w:rsidRDefault="00E27DC6" w:rsidP="00666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ГПР + 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зомуко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 мукозальн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й гель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ноградн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83E97">
              <w:rPr>
                <w:rFonts w:ascii="Times New Roman" w:eastAsia="Times New Roman" w:hAnsi="Times New Roman" w:cs="Times New Roman"/>
                <w:sz w:val="28"/>
                <w:szCs w:val="28"/>
              </w:rPr>
              <w:t>овестин-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лакто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32" w:type="dxa"/>
            <w:vAlign w:val="center"/>
          </w:tcPr>
          <w:p w:rsidR="00E27DC6" w:rsidRPr="00966737" w:rsidRDefault="00E27DC6" w:rsidP="00E27D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27DC6" w:rsidRPr="00966737" w:rsidTr="00E27DC6">
        <w:trPr>
          <w:trHeight w:val="48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27DC6" w:rsidRPr="0026385E" w:rsidRDefault="0026385E" w:rsidP="00E27D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27DC6" w:rsidRPr="0066626B" w:rsidRDefault="00E27DC6" w:rsidP="00666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ГПР + полоскан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зомуко</w:t>
            </w:r>
            <w:r w:rsidR="00263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662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32" w:type="dxa"/>
            <w:vAlign w:val="center"/>
          </w:tcPr>
          <w:p w:rsidR="00E27DC6" w:rsidRPr="00966737" w:rsidRDefault="00E27DC6" w:rsidP="00E27D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27DC6" w:rsidRPr="00966737" w:rsidTr="00E27DC6">
        <w:trPr>
          <w:trHeight w:val="489"/>
        </w:trPr>
        <w:tc>
          <w:tcPr>
            <w:tcW w:w="8222" w:type="dxa"/>
            <w:gridSpan w:val="3"/>
            <w:tcBorders>
              <w:top w:val="single" w:sz="4" w:space="0" w:color="auto"/>
            </w:tcBorders>
            <w:vAlign w:val="center"/>
          </w:tcPr>
          <w:p w:rsidR="00E27DC6" w:rsidRPr="0026385E" w:rsidRDefault="0026385E" w:rsidP="00E27D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32" w:type="dxa"/>
            <w:vAlign w:val="center"/>
          </w:tcPr>
          <w:p w:rsidR="00E27DC6" w:rsidRPr="00966737" w:rsidRDefault="00E27DC6" w:rsidP="00E27D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</w:tbl>
    <w:p w:rsidR="00E27DC6" w:rsidRPr="00966737" w:rsidRDefault="00E27DC6" w:rsidP="003D13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I – 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гострий період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+ рецидив</w:t>
      </w:r>
    </w:p>
    <w:p w:rsidR="00E27DC6" w:rsidRPr="00966737" w:rsidRDefault="00E27DC6" w:rsidP="003D13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II </w:t>
      </w:r>
      <w:r w:rsidR="006662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рем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385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E27DC6" w:rsidRPr="00966737" w:rsidRDefault="00E27DC6" w:rsidP="003D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DC6" w:rsidRPr="00966737" w:rsidRDefault="00865B8D" w:rsidP="001D3B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lastRenderedPageBreak/>
        <w:t>Діти обох груп (основної та порівняння) отримували загальне лікува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ня основної патології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ГЛЛ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</w:p>
    <w:p w:rsidR="00E27DC6" w:rsidRPr="00966737" w:rsidRDefault="00865B8D" w:rsidP="001D3B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Лікування дітей з ГЛЛ проводять за протоколами 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БФМ – 90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Берлін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Франкфурт-на-Майні</w:t>
      </w:r>
      <w:r w:rsidR="00E27DC6" w:rsidRPr="00966737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Мюнхен</w:t>
      </w:r>
      <w:r w:rsidR="00E27DC6" w:rsidRPr="00966737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>)</w:t>
      </w:r>
      <w:r w:rsidR="00F94642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,</w:t>
      </w:r>
      <w:r w:rsidR="00E27DC6" w:rsidRPr="00966737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F94642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яке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 передбачає </w:t>
      </w:r>
      <w:r w:rsidR="00F94642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включення всіх груп цит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токсичних препаратів, що впливають на різні фази мітозу бластної клітини</w:t>
      </w:r>
      <w:r w:rsidR="00E27DC6" w:rsidRPr="00966737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</w:p>
    <w:p w:rsidR="00E27DC6" w:rsidRPr="00966737" w:rsidRDefault="00865B8D" w:rsidP="001D3B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У гострий період та рецидив ГЛЛ у дітей протокольне лікування под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ляється на три фази (три протокол</w:t>
      </w:r>
      <w:r w:rsidR="00D9568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и</w:t>
      </w:r>
      <w:r w:rsidR="00E27DC6" w:rsidRPr="00966737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>):</w:t>
      </w:r>
    </w:p>
    <w:p w:rsidR="00E27DC6" w:rsidRPr="00966737" w:rsidRDefault="00E27DC6" w:rsidP="001D3B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індукція ремісії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На цьому етапі діти приймають високі д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зи гормональної терапії, протипухлинних антибіотиків, цитостатиків, антім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таболітов, алкалоїдів, алкілюючих агентів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966737" w:rsidRDefault="00DE581B" w:rsidP="001D3B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 w:rsidR="00E27DC6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865B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протокол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консолідація. Основна терапія спрямована на прийом високодозових цитотоксичних антиметаболіт</w:t>
      </w:r>
      <w:r w:rsidR="006E464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966737" w:rsidRDefault="00E27DC6" w:rsidP="001D3B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II 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реіндукція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На цьому етапі діти приймають знижуючі д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65B8D">
        <w:rPr>
          <w:rFonts w:ascii="Times New Roman" w:eastAsia="Times New Roman" w:hAnsi="Times New Roman" w:cs="Times New Roman"/>
          <w:sz w:val="28"/>
          <w:szCs w:val="28"/>
          <w:lang w:val="uk-UA"/>
        </w:rPr>
        <w:t>зи гормональної терапії, протипухлинних антибіотиків, цитостатиків, ант</w:t>
      </w:r>
      <w:r w:rsidR="006E464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E464E">
        <w:rPr>
          <w:rFonts w:ascii="Times New Roman" w:eastAsia="Times New Roman" w:hAnsi="Times New Roman" w:cs="Times New Roman"/>
          <w:sz w:val="28"/>
          <w:szCs w:val="28"/>
          <w:lang w:val="uk-UA"/>
        </w:rPr>
        <w:t>метаболітів, алкалоїдів, алкілюючих агентів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966737" w:rsidRDefault="00F94642" w:rsidP="001D3B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E464E">
        <w:rPr>
          <w:rFonts w:ascii="Times New Roman" w:eastAsia="Times New Roman" w:hAnsi="Times New Roman" w:cs="Times New Roman"/>
          <w:sz w:val="28"/>
          <w:szCs w:val="28"/>
          <w:lang w:val="uk-UA"/>
        </w:rPr>
        <w:t>се протокольне лікування проводиться на фоні супроводжувальної терапії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E46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замісної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6E464E">
        <w:rPr>
          <w:rFonts w:ascii="Times New Roman" w:eastAsia="Times New Roman" w:hAnsi="Times New Roman" w:cs="Times New Roman"/>
          <w:sz w:val="28"/>
          <w:szCs w:val="28"/>
          <w:lang w:val="uk-UA"/>
        </w:rPr>
        <w:t>переливання компонентів крові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E464E">
        <w:rPr>
          <w:rFonts w:ascii="Times New Roman" w:eastAsia="Times New Roman" w:hAnsi="Times New Roman" w:cs="Times New Roman"/>
          <w:sz w:val="28"/>
          <w:szCs w:val="28"/>
          <w:lang w:val="uk-UA"/>
        </w:rPr>
        <w:t>дезінтоксикаційної, ант</w:t>
      </w:r>
      <w:r w:rsidR="006E464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E464E">
        <w:rPr>
          <w:rFonts w:ascii="Times New Roman" w:eastAsia="Times New Roman" w:hAnsi="Times New Roman" w:cs="Times New Roman"/>
          <w:sz w:val="28"/>
          <w:szCs w:val="28"/>
          <w:lang w:val="uk-UA"/>
        </w:rPr>
        <w:t>бактеріальної, симптоматичної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3E5" w:rsidRDefault="006E464E" w:rsidP="009A7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період ремісії ГЛЛ діти отримують підтримуючу терапію цитотокс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чними антиметаболітами протягом одного року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48A" w:rsidRDefault="006E464E" w:rsidP="00101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Тривалий період лікування основного онкогематологічного захвор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вання став об</w:t>
      </w:r>
      <w:r w:rsidR="00CC596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ґ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рунтуванням для призначення профілактичних заходів дітям на всіх етапах протокольного лікування ГЛЛ</w:t>
      </w:r>
      <w:r w:rsidR="0010148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148A" w:rsidRDefault="00CC596E" w:rsidP="00101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42D5F">
        <w:rPr>
          <w:rFonts w:ascii="Times New Roman" w:eastAsia="Times New Roman" w:hAnsi="Times New Roman" w:cs="Times New Roman"/>
          <w:sz w:val="28"/>
          <w:szCs w:val="28"/>
          <w:lang w:val="uk-UA"/>
        </w:rPr>
        <w:t>сі діти обох груп гігієну порожнини рота здійснювали за допомогою чи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щення</w:t>
      </w:r>
      <w:r w:rsidR="00C42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зубів дуже м</w:t>
      </w:r>
      <w:r w:rsidR="00DE581B"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C42D5F">
        <w:rPr>
          <w:rFonts w:ascii="Times New Roman" w:eastAsia="Times New Roman" w:hAnsi="Times New Roman" w:cs="Times New Roman"/>
          <w:sz w:val="28"/>
          <w:szCs w:val="28"/>
          <w:lang w:val="uk-UA"/>
        </w:rPr>
        <w:t>якими або м</w:t>
      </w:r>
      <w:r w:rsidR="00DE581B" w:rsidRP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C42D5F">
        <w:rPr>
          <w:rFonts w:ascii="Times New Roman" w:eastAsia="Times New Roman" w:hAnsi="Times New Roman" w:cs="Times New Roman"/>
          <w:sz w:val="28"/>
          <w:szCs w:val="28"/>
          <w:lang w:val="uk-UA"/>
        </w:rPr>
        <w:t>якими зубними щітками та дитячою зу</w:t>
      </w:r>
      <w:r w:rsidR="00C42D5F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C42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ною пастою (відповідно до віку), протизапального зубного еліксиру 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10148A" w:rsidRPr="00CC7CE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2D5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148A" w:rsidRPr="00CC7CEF">
        <w:rPr>
          <w:rFonts w:ascii="Times New Roman" w:eastAsia="Times New Roman" w:hAnsi="Times New Roman" w:cs="Times New Roman"/>
          <w:sz w:val="28"/>
          <w:szCs w:val="28"/>
        </w:rPr>
        <w:t>зом</w:t>
      </w:r>
      <w:r w:rsidR="0010148A" w:rsidRPr="00CC7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148A" w:rsidRPr="00CC7CEF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C42D5F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10148A" w:rsidRPr="00CC7CE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 w:rsidR="00C42D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, </w:t>
      </w:r>
      <w:r w:rsidR="00C42D5F">
        <w:rPr>
          <w:rFonts w:ascii="Times New Roman" w:eastAsia="Times New Roman" w:hAnsi="Times New Roman" w:cs="Times New Roman"/>
          <w:sz w:val="28"/>
          <w:szCs w:val="28"/>
          <w:lang w:val="uk-UA"/>
        </w:rPr>
        <w:t>що не містить спирт</w:t>
      </w:r>
      <w:r w:rsidR="0010148A" w:rsidRPr="00CC7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48A" w:rsidRDefault="00C42D5F" w:rsidP="00101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Дітям основної групи, крім гігієни порожнини рота, призначали у пе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ший гострий період та період рецидиву ГЛЛ аплікації на ясна та СОПР мук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зального гелю 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10148A" w:rsidRPr="00966737">
        <w:rPr>
          <w:rFonts w:ascii="Times New Roman" w:eastAsia="Times New Roman" w:hAnsi="Times New Roman" w:cs="Times New Roman"/>
          <w:sz w:val="28"/>
          <w:szCs w:val="28"/>
        </w:rPr>
        <w:t>Квертул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148A" w:rsidRPr="0096673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препарату антиоксидантних вітамінів та пров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тамінів 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10148A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Катомас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 w:rsidR="001014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Препарати застосовували через 30 хвилин після їжі два рази на день</w:t>
      </w:r>
      <w:r w:rsidR="001014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10148A">
        <w:rPr>
          <w:rFonts w:ascii="Times New Roman" w:eastAsia="Times New Roman" w:hAnsi="Times New Roman" w:cs="Times New Roman"/>
          <w:sz w:val="28"/>
          <w:szCs w:val="28"/>
        </w:rPr>
        <w:t>Квертул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148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 w:rsidR="00DE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81B" w:rsidRPr="009667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перших </w:t>
      </w:r>
      <w:r w:rsidR="0010148A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днів</w:t>
      </w:r>
      <w:r w:rsidR="001014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10148A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Катомас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»</w:t>
      </w:r>
      <w:r w:rsidR="001014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DE581B" w:rsidRPr="009667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починаючи з другого тижня.</w:t>
      </w:r>
    </w:p>
    <w:p w:rsidR="0010148A" w:rsidRDefault="00C42D5F" w:rsidP="00101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 період ремісії гострого лімфобластного лейкозу, крім гігієни поро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нини рота, призначали аплікації на ясна та СОПР мукозального гелю 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«</w:t>
      </w:r>
      <w:r w:rsidR="0010148A" w:rsidRPr="00966737">
        <w:rPr>
          <w:rFonts w:ascii="Times New Roman" w:eastAsia="Times New Roman" w:hAnsi="Times New Roman" w:cs="Times New Roman"/>
          <w:sz w:val="28"/>
          <w:szCs w:val="28"/>
        </w:rPr>
        <w:t>Кве</w:t>
      </w:r>
      <w:r w:rsidR="0010148A" w:rsidRPr="0096673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148A" w:rsidRPr="00966737">
        <w:rPr>
          <w:rFonts w:ascii="Times New Roman" w:eastAsia="Times New Roman" w:hAnsi="Times New Roman" w:cs="Times New Roman"/>
          <w:sz w:val="28"/>
          <w:szCs w:val="28"/>
        </w:rPr>
        <w:t>тул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148A" w:rsidRPr="0096673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E58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два рази на день ч</w:t>
      </w:r>
      <w:r w:rsidR="00DE581B">
        <w:rPr>
          <w:rFonts w:ascii="Times New Roman" w:eastAsia="Times New Roman" w:hAnsi="Times New Roman" w:cs="Times New Roman"/>
          <w:sz w:val="28"/>
          <w:szCs w:val="28"/>
          <w:lang w:val="uk-UA"/>
        </w:rPr>
        <w:t>ерез 30 хвилин після їжі протягом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14 днів</w:t>
      </w:r>
      <w:r w:rsidR="001014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</w:p>
    <w:p w:rsidR="0010148A" w:rsidRDefault="00C42D5F" w:rsidP="00101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Загальна тривалість профілактичних заходів для всіх періодів перебігу ГЛЛ складала </w:t>
      </w:r>
      <w:r w:rsidR="001014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14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днів та повторювалася протягом </w:t>
      </w:r>
      <w:r w:rsidR="00CC596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сього періоду протокол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ного лікування ГЛЛ через один місяць</w:t>
      </w:r>
      <w:r w:rsidR="001014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</w:p>
    <w:p w:rsidR="0010148A" w:rsidRPr="0010148A" w:rsidRDefault="0010148A" w:rsidP="009A7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7DC6" w:rsidRPr="00AE55D9" w:rsidRDefault="00E27DC6" w:rsidP="001D3B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b/>
          <w:sz w:val="28"/>
          <w:szCs w:val="28"/>
        </w:rPr>
        <w:t xml:space="preserve">2.7.  </w:t>
      </w:r>
      <w:r w:rsidR="00C42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Статистичні методи обробки даних</w:t>
      </w:r>
      <w:r w:rsidRPr="009667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13D8" w:rsidRPr="00AE55D9" w:rsidRDefault="008213D8" w:rsidP="001D3B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C6" w:rsidRPr="00966737" w:rsidRDefault="00C42D5F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A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 </w:t>
      </w:r>
      <w:r w:rsidR="003473F6" w:rsidRPr="00064DAC">
        <w:rPr>
          <w:rFonts w:ascii="Times New Roman" w:hAnsi="Times New Roman" w:cs="Times New Roman"/>
          <w:sz w:val="28"/>
          <w:szCs w:val="28"/>
          <w:lang w:val="uk-UA"/>
        </w:rPr>
        <w:t>були піддані варіаційно-статистичній оброб</w:t>
      </w:r>
      <w:r w:rsidR="00DE581B" w:rsidRPr="00064DA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473F6" w:rsidRPr="00064D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73F6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</w:t>
      </w:r>
      <w:r w:rsidR="009F623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473F6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9F6234">
        <w:rPr>
          <w:rFonts w:ascii="Times New Roman" w:hAnsi="Times New Roman" w:cs="Times New Roman"/>
          <w:sz w:val="28"/>
          <w:szCs w:val="28"/>
          <w:lang w:val="uk-UA"/>
        </w:rPr>
        <w:t>и та задач</w:t>
      </w:r>
      <w:r w:rsidR="003473F6">
        <w:rPr>
          <w:rFonts w:ascii="Times New Roman" w:hAnsi="Times New Roman" w:cs="Times New Roman"/>
          <w:sz w:val="28"/>
          <w:szCs w:val="28"/>
          <w:lang w:val="uk-UA"/>
        </w:rPr>
        <w:t xml:space="preserve"> кожного розділу роботи. Обробка результ</w:t>
      </w:r>
      <w:r w:rsidR="003473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73F6">
        <w:rPr>
          <w:rFonts w:ascii="Times New Roman" w:hAnsi="Times New Roman" w:cs="Times New Roman"/>
          <w:sz w:val="28"/>
          <w:szCs w:val="28"/>
          <w:lang w:val="uk-UA"/>
        </w:rPr>
        <w:t>тів досліджень проводилася з використанням загальноприйнятих методів м</w:t>
      </w:r>
      <w:r w:rsidR="003473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73F6">
        <w:rPr>
          <w:rFonts w:ascii="Times New Roman" w:hAnsi="Times New Roman" w:cs="Times New Roman"/>
          <w:sz w:val="28"/>
          <w:szCs w:val="28"/>
          <w:lang w:val="uk-UA"/>
        </w:rPr>
        <w:t xml:space="preserve">тематичної статистики: для кількісних ознак </w:t>
      </w:r>
      <w:r w:rsidR="00DE581B" w:rsidRPr="009667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473F6">
        <w:rPr>
          <w:rFonts w:ascii="Times New Roman" w:hAnsi="Times New Roman" w:cs="Times New Roman"/>
          <w:sz w:val="28"/>
          <w:szCs w:val="28"/>
          <w:lang w:val="uk-UA"/>
        </w:rPr>
        <w:t xml:space="preserve">параметричними методами, та для якісних </w:t>
      </w:r>
      <w:r w:rsidR="00DE581B" w:rsidRPr="009667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473F6">
        <w:rPr>
          <w:rFonts w:ascii="Times New Roman" w:hAnsi="Times New Roman" w:cs="Times New Roman"/>
          <w:sz w:val="28"/>
          <w:szCs w:val="28"/>
          <w:lang w:val="uk-UA"/>
        </w:rPr>
        <w:t>непараметричними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6A0EC6">
        <w:rPr>
          <w:rFonts w:ascii="Times New Roman" w:eastAsia="Times New Roman" w:hAnsi="Times New Roman" w:cs="Times New Roman"/>
          <w:sz w:val="28"/>
          <w:szCs w:val="28"/>
        </w:rPr>
        <w:t>239,</w:t>
      </w:r>
      <w:r w:rsidR="00C968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0EC6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E27DC6" w:rsidRPr="00966737" w:rsidRDefault="003473F6" w:rsidP="00E27D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результатів проводився на основі оцінки достовірності різних середніх величин виборок шляхом розрахунку помилок середніх значень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966737" w:rsidRDefault="003473F6" w:rsidP="00E27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Середнє значення величини у виборці знаходили за формулою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7DC6" w:rsidRPr="00966737" w:rsidRDefault="00E27DC6" w:rsidP="00E27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>М = м</w:t>
      </w:r>
      <w:r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+ м</w:t>
      </w:r>
      <w:r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+ м</w:t>
      </w:r>
      <w:r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+ м</w:t>
      </w:r>
      <w:r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+…..мn / n = i / n Σ Mi, де </w:t>
      </w:r>
    </w:p>
    <w:p w:rsidR="00E27DC6" w:rsidRPr="00966737" w:rsidRDefault="00E27DC6" w:rsidP="00E27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Mi – </w:t>
      </w:r>
      <w:r w:rsidR="003473F6">
        <w:rPr>
          <w:rFonts w:ascii="Times New Roman" w:eastAsia="Times New Roman" w:hAnsi="Times New Roman" w:cs="Times New Roman"/>
          <w:sz w:val="28"/>
          <w:szCs w:val="28"/>
          <w:lang w:val="uk-UA"/>
        </w:rPr>
        <w:t>вар</w:t>
      </w:r>
      <w:r w:rsid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473F6">
        <w:rPr>
          <w:rFonts w:ascii="Times New Roman" w:eastAsia="Times New Roman" w:hAnsi="Times New Roman" w:cs="Times New Roman"/>
          <w:sz w:val="28"/>
          <w:szCs w:val="28"/>
          <w:lang w:val="uk-UA"/>
        </w:rPr>
        <w:t>ант значення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DC6" w:rsidRPr="00966737" w:rsidRDefault="00E27DC6" w:rsidP="00E27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Σ – </w:t>
      </w:r>
      <w:r w:rsidR="009F6234" w:rsidRPr="00CB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 </w:t>
      </w:r>
      <w:r w:rsid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підсумовування</w:t>
      </w:r>
      <w:r w:rsidR="00C9680B" w:rsidRPr="00CB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73F6" w:rsidRP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вар</w:t>
      </w:r>
      <w:r w:rsid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473F6" w:rsidRP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ант</w:t>
      </w:r>
      <w:r w:rsid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473F6" w:rsidRPr="00CB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473F6" w:rsidRPr="00CB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межах</w:t>
      </w:r>
      <w:r w:rsidR="00CB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="003473F6" w:rsidRPr="00CB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першої </w:t>
      </w:r>
      <w:r w:rsidRPr="00CB2198">
        <w:rPr>
          <w:rFonts w:ascii="Times New Roman" w:eastAsia="Times New Roman" w:hAnsi="Times New Roman" w:cs="Times New Roman"/>
          <w:sz w:val="28"/>
          <w:szCs w:val="28"/>
        </w:rPr>
        <w:t xml:space="preserve">(м1) </w:t>
      </w:r>
      <w:r w:rsidR="003473F6" w:rsidRPr="00CB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3473F6" w:rsidRPr="00CB2198">
        <w:rPr>
          <w:rFonts w:ascii="Times New Roman" w:eastAsia="Times New Roman" w:hAnsi="Times New Roman" w:cs="Times New Roman"/>
          <w:sz w:val="28"/>
          <w:szCs w:val="28"/>
        </w:rPr>
        <w:t>n-</w:t>
      </w:r>
      <w:r w:rsidR="003473F6" w:rsidRP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ї вар</w:t>
      </w:r>
      <w:r w:rsid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473F6" w:rsidRP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473F6" w:rsidRP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нти</w:t>
      </w:r>
      <w:r w:rsidRPr="00CB21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DC6" w:rsidRPr="00966737" w:rsidRDefault="00E27DC6" w:rsidP="00E27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n – </w:t>
      </w:r>
      <w:r w:rsidR="003473F6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кількість вар</w:t>
      </w:r>
      <w:r w:rsidR="00CB219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473F6">
        <w:rPr>
          <w:rFonts w:ascii="Times New Roman" w:eastAsia="Times New Roman" w:hAnsi="Times New Roman" w:cs="Times New Roman"/>
          <w:sz w:val="28"/>
          <w:szCs w:val="28"/>
          <w:lang w:val="uk-UA"/>
        </w:rPr>
        <w:t>ант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DC6" w:rsidRPr="00966737" w:rsidRDefault="00F96F43" w:rsidP="00E27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Середнє квадратичне відхилення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: δ = √ Σ (М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М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)² / n – 1.</w:t>
      </w:r>
    </w:p>
    <w:p w:rsidR="00E27DC6" w:rsidRPr="00966737" w:rsidRDefault="00F96F43" w:rsidP="00E27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11">
        <w:rPr>
          <w:rFonts w:ascii="Times New Roman" w:eastAsia="Times New Roman" w:hAnsi="Times New Roman" w:cs="Times New Roman"/>
          <w:sz w:val="28"/>
          <w:szCs w:val="28"/>
          <w:lang w:val="uk-UA"/>
        </w:rPr>
        <w:t>Помилку середньої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знаходили за формулою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: m = δ / √ n.</w:t>
      </w:r>
    </w:p>
    <w:p w:rsidR="00E27DC6" w:rsidRPr="00966737" w:rsidRDefault="00F96F43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виявлення достовірності порівнюваних величин використовували критерій Стьюдента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: t = M1 – M2 / √ m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² -m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².</w:t>
      </w:r>
    </w:p>
    <w:p w:rsidR="00E27DC6" w:rsidRDefault="00F96F43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 мінімальну допустиму вірогідність відповідно до рекомендацій для медичних досліджень приймали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 p&lt;0,05,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тобто вірогідність безпомилкового прогнозу складала 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 xml:space="preserve">95%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більше</w:t>
      </w:r>
      <w:r w:rsidR="00E27DC6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07C" w:rsidRPr="00966737" w:rsidRDefault="00F96F43" w:rsidP="00E27D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Дані результатів обстеження та лікування дітей з ураженнями слизової оболонки порожнини рота на фоні гострого лімфобластного лейкозу зберіг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лися, оброблялися та вимірювалися за допомогою ліцензійного програмного продукту </w:t>
      </w:r>
      <w:r w:rsidR="0065507C" w:rsidRPr="0065507C">
        <w:rPr>
          <w:rFonts w:ascii="Times New Roman" w:eastAsia="Times New Roman" w:hAnsi="Times New Roman" w:cs="Times New Roman"/>
          <w:sz w:val="28"/>
          <w:szCs w:val="28"/>
        </w:rPr>
        <w:t>Microsoft Excel 2003® Statistica v6.1 (StatSoft Inc.США) (mu.№AJAR909E415822FA).</w:t>
      </w:r>
    </w:p>
    <w:p w:rsidR="00DE581B" w:rsidRDefault="00DE581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DB00DB" w:rsidRPr="00966737" w:rsidRDefault="00F96F43" w:rsidP="00DB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</w:t>
      </w:r>
      <w:r w:rsidR="00DB00DB" w:rsidRPr="00966737">
        <w:rPr>
          <w:rFonts w:ascii="Times New Roman" w:hAnsi="Times New Roman" w:cs="Times New Roman"/>
          <w:b/>
          <w:sz w:val="28"/>
          <w:szCs w:val="28"/>
        </w:rPr>
        <w:t>3</w:t>
      </w:r>
    </w:p>
    <w:p w:rsidR="00562169" w:rsidRDefault="008B55E3" w:rsidP="00DB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</w:t>
      </w:r>
      <w:r w:rsidR="00B25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УРАЖЕНЬ СОПР, ТКАНИН </w:t>
      </w:r>
    </w:p>
    <w:p w:rsidR="00562169" w:rsidRDefault="00562169" w:rsidP="00DB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ПАРОДОН</w:t>
      </w:r>
      <w:r w:rsidR="00B25D8D">
        <w:rPr>
          <w:rFonts w:ascii="Times New Roman" w:hAnsi="Times New Roman" w:cs="Times New Roman"/>
          <w:b/>
          <w:sz w:val="28"/>
          <w:szCs w:val="28"/>
          <w:lang w:val="uk-UA"/>
        </w:rPr>
        <w:t>ТУ</w:t>
      </w:r>
      <w:r w:rsidR="008B5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СТАН РІВНЯ ГІГІЄНИ ПОРОЖНИНИ РОТА</w:t>
      </w:r>
      <w:r w:rsidR="008B55E3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="003F2CE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B5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</w:t>
      </w:r>
      <w:r w:rsidR="00B25D8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B5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5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ХВОРІЮТЬ НА </w:t>
      </w:r>
      <w:r w:rsidR="008B55E3">
        <w:rPr>
          <w:rFonts w:ascii="Times New Roman" w:hAnsi="Times New Roman" w:cs="Times New Roman"/>
          <w:b/>
          <w:sz w:val="28"/>
          <w:szCs w:val="28"/>
          <w:lang w:val="uk-UA"/>
        </w:rPr>
        <w:t>ГОСТРИ</w:t>
      </w:r>
      <w:r w:rsidR="00B25D8D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8B5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ЛІМФОБЛАСТНИ</w:t>
      </w:r>
      <w:r w:rsidR="00B25D8D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</w:p>
    <w:p w:rsidR="003D13E5" w:rsidRPr="00966737" w:rsidRDefault="008B55E3" w:rsidP="00DB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ЛЕЙКОЗ</w:t>
      </w:r>
    </w:p>
    <w:p w:rsidR="00DB00DB" w:rsidRPr="00966737" w:rsidRDefault="00DB00DB" w:rsidP="00DB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DB" w:rsidRPr="00966737" w:rsidRDefault="00DB00DB" w:rsidP="00DB00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37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7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="00562169">
        <w:rPr>
          <w:rFonts w:ascii="Times New Roman" w:hAnsi="Times New Roman" w:cs="Times New Roman"/>
          <w:b/>
          <w:sz w:val="28"/>
          <w:szCs w:val="28"/>
          <w:lang w:val="uk-UA"/>
        </w:rPr>
        <w:t>клінічного</w:t>
      </w:r>
      <w:r w:rsidR="007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обстеження дітей </w:t>
      </w:r>
      <w:r w:rsidR="0013556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F4F75">
        <w:rPr>
          <w:rFonts w:ascii="Times New Roman" w:hAnsi="Times New Roman" w:cs="Times New Roman"/>
          <w:b/>
          <w:sz w:val="28"/>
          <w:szCs w:val="28"/>
          <w:lang w:val="uk-UA"/>
        </w:rPr>
        <w:t>з гострим лімфобла</w:t>
      </w:r>
      <w:r w:rsidR="007F4F7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F4F75">
        <w:rPr>
          <w:rFonts w:ascii="Times New Roman" w:hAnsi="Times New Roman" w:cs="Times New Roman"/>
          <w:b/>
          <w:sz w:val="28"/>
          <w:szCs w:val="28"/>
          <w:lang w:val="uk-UA"/>
        </w:rPr>
        <w:t>тним лейкозом.</w:t>
      </w:r>
    </w:p>
    <w:p w:rsidR="00DB00DB" w:rsidRPr="007F4F75" w:rsidRDefault="007F4F75" w:rsidP="00DB0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поєднаних уражень порожнини рота та внутрішніх органів 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ред проблем стоматології в даний час займають важливе місце, оскільки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зволяють відобразити сутність </w:t>
      </w:r>
      <w:r w:rsidRPr="003B33C5">
        <w:rPr>
          <w:rFonts w:ascii="Times New Roman" w:hAnsi="Times New Roman" w:cs="Times New Roman"/>
          <w:sz w:val="28"/>
          <w:szCs w:val="28"/>
          <w:lang w:val="uk-UA"/>
        </w:rPr>
        <w:t>генез</w:t>
      </w:r>
      <w:r w:rsidR="003B33C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захвор</w:t>
      </w:r>
      <w:r w:rsidR="003F2CEC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вань, що проявляються на сл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зовій оболонці порожнини рота. Слизова оболонка порожнини рота, як і 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ганізм </w:t>
      </w:r>
      <w:r w:rsidR="003F2CE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цілому, є сприйнятливою до ді</w:t>
      </w:r>
      <w:r w:rsidR="00553729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екзо- та ендогенних факторів, які провокують її захворювання. Зміни СОПР найчастіше є першими ознаками</w:t>
      </w:r>
      <w:r w:rsidR="002B72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маркерами </w:t>
      </w:r>
      <w:r w:rsidR="002B726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F2CEC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соматичних патологічних процесів, що виникають</w:t>
      </w:r>
      <w:r w:rsidR="00194AA8">
        <w:rPr>
          <w:rFonts w:ascii="Times New Roman" w:hAnsi="Times New Roman" w:cs="Times New Roman"/>
          <w:sz w:val="28"/>
          <w:szCs w:val="28"/>
          <w:lang w:val="uk-UA"/>
        </w:rPr>
        <w:t xml:space="preserve"> в о</w:t>
      </w:r>
      <w:r w:rsidR="00194AA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94AA8">
        <w:rPr>
          <w:rFonts w:ascii="Times New Roman" w:hAnsi="Times New Roman" w:cs="Times New Roman"/>
          <w:sz w:val="28"/>
          <w:szCs w:val="28"/>
          <w:lang w:val="uk-UA"/>
        </w:rPr>
        <w:t>ганізмі</w:t>
      </w:r>
      <w:r>
        <w:rPr>
          <w:rFonts w:ascii="Times New Roman" w:hAnsi="Times New Roman" w:cs="Times New Roman"/>
          <w:sz w:val="28"/>
          <w:szCs w:val="28"/>
          <w:lang w:val="uk-UA"/>
        </w:rPr>
        <w:t>, вивчення яких дозволяє проводити ранню діагностику багатьох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хворювань внутрішніх органів</w:t>
      </w:r>
      <w:r w:rsidR="00DB00DB" w:rsidRPr="007F4F7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F16CA" w:rsidRPr="007F4F75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2B7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6CA" w:rsidRPr="007F4F75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2B7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6CA" w:rsidRPr="007F4F75">
        <w:rPr>
          <w:rFonts w:ascii="Times New Roman" w:hAnsi="Times New Roman" w:cs="Times New Roman"/>
          <w:sz w:val="28"/>
          <w:szCs w:val="28"/>
          <w:lang w:val="uk-UA"/>
        </w:rPr>
        <w:t>7,</w:t>
      </w:r>
      <w:r w:rsidR="002B7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6CA" w:rsidRPr="007F4F75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2B7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6CA" w:rsidRPr="007F4F7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B00DB" w:rsidRPr="007F4F75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2B7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00DB" w:rsidRPr="007F4F75" w:rsidRDefault="007F4F75" w:rsidP="00DB00DB">
      <w:pPr>
        <w:pStyle w:val="12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Важливо від</w:t>
      </w:r>
      <w:r w:rsidR="003F2CEC">
        <w:rPr>
          <w:sz w:val="28"/>
          <w:szCs w:val="28"/>
          <w:lang w:val="uk-UA"/>
        </w:rPr>
        <w:t>значити</w:t>
      </w:r>
      <w:r>
        <w:rPr>
          <w:sz w:val="28"/>
          <w:szCs w:val="28"/>
          <w:lang w:val="uk-UA"/>
        </w:rPr>
        <w:t>, що останнім часом відмічається повсюдне зро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тання захворюваності гострими формами лейкемії, що зумовлено несприя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ливою екологічною обстановкою</w:t>
      </w:r>
      <w:r w:rsidR="00DB00DB" w:rsidRPr="007F4F75">
        <w:rPr>
          <w:sz w:val="28"/>
          <w:szCs w:val="28"/>
          <w:lang w:val="uk-UA"/>
        </w:rPr>
        <w:t>,</w:t>
      </w:r>
      <w:r w:rsidR="00EF4133">
        <w:rPr>
          <w:sz w:val="28"/>
          <w:szCs w:val="28"/>
          <w:lang w:val="uk-UA"/>
        </w:rPr>
        <w:t xml:space="preserve"> збільшенням рад</w:t>
      </w:r>
      <w:r>
        <w:rPr>
          <w:sz w:val="28"/>
          <w:szCs w:val="28"/>
          <w:lang w:val="uk-UA"/>
        </w:rPr>
        <w:t>іаційного фону, хімічними канцерогенами</w:t>
      </w:r>
      <w:r w:rsidR="00DB00DB" w:rsidRPr="007F4F75">
        <w:rPr>
          <w:sz w:val="28"/>
          <w:szCs w:val="28"/>
          <w:lang w:val="uk-UA"/>
        </w:rPr>
        <w:t xml:space="preserve"> [</w:t>
      </w:r>
      <w:r w:rsidR="00EC39D7" w:rsidRPr="007F4F75">
        <w:rPr>
          <w:sz w:val="28"/>
          <w:szCs w:val="28"/>
          <w:lang w:val="uk-UA"/>
        </w:rPr>
        <w:t>12,</w:t>
      </w:r>
      <w:r w:rsidR="002B7266">
        <w:rPr>
          <w:sz w:val="28"/>
          <w:szCs w:val="28"/>
          <w:lang w:val="uk-UA"/>
        </w:rPr>
        <w:t xml:space="preserve"> </w:t>
      </w:r>
      <w:r w:rsidR="00EC39D7" w:rsidRPr="007F4F75">
        <w:rPr>
          <w:sz w:val="28"/>
          <w:szCs w:val="28"/>
          <w:lang w:val="uk-UA"/>
        </w:rPr>
        <w:t>16,</w:t>
      </w:r>
      <w:r w:rsidR="002B7266">
        <w:rPr>
          <w:sz w:val="28"/>
          <w:szCs w:val="28"/>
          <w:lang w:val="uk-UA"/>
        </w:rPr>
        <w:t xml:space="preserve"> </w:t>
      </w:r>
      <w:r w:rsidR="00EC39D7" w:rsidRPr="007F4F75">
        <w:rPr>
          <w:sz w:val="28"/>
          <w:szCs w:val="28"/>
          <w:lang w:val="uk-UA"/>
        </w:rPr>
        <w:t>17,</w:t>
      </w:r>
      <w:r w:rsidR="002B7266">
        <w:rPr>
          <w:sz w:val="28"/>
          <w:szCs w:val="28"/>
          <w:lang w:val="uk-UA"/>
        </w:rPr>
        <w:t xml:space="preserve"> </w:t>
      </w:r>
      <w:r w:rsidR="00EC39D7" w:rsidRPr="007F4F75">
        <w:rPr>
          <w:sz w:val="28"/>
          <w:szCs w:val="28"/>
          <w:lang w:val="uk-UA"/>
        </w:rPr>
        <w:t>26,</w:t>
      </w:r>
      <w:r w:rsidR="002B7266">
        <w:rPr>
          <w:sz w:val="28"/>
          <w:szCs w:val="28"/>
          <w:lang w:val="uk-UA"/>
        </w:rPr>
        <w:t xml:space="preserve"> </w:t>
      </w:r>
      <w:r w:rsidR="00EC39D7" w:rsidRPr="007F4F75">
        <w:rPr>
          <w:sz w:val="28"/>
          <w:szCs w:val="28"/>
          <w:lang w:val="uk-UA"/>
        </w:rPr>
        <w:t>27</w:t>
      </w:r>
      <w:r w:rsidR="00DB00DB" w:rsidRPr="007F4F75">
        <w:rPr>
          <w:sz w:val="28"/>
          <w:szCs w:val="28"/>
          <w:lang w:val="uk-UA"/>
        </w:rPr>
        <w:t>].</w:t>
      </w:r>
    </w:p>
    <w:p w:rsidR="00DB00DB" w:rsidRPr="00966737" w:rsidRDefault="007F4F75" w:rsidP="00DB00DB">
      <w:pPr>
        <w:pStyle w:val="12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Часто саме стоматологи вперше звертають увагу на зміни </w:t>
      </w:r>
      <w:r w:rsidR="003F2CE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порожнині рота, характерні для системних захворювань. Крім того, сучасна діагностика суттєво впливає на вибір симптоматичного стоматологічного лікування при цих захворюваннях</w:t>
      </w:r>
      <w:r w:rsidR="00DB00DB" w:rsidRPr="00966737">
        <w:rPr>
          <w:sz w:val="28"/>
          <w:szCs w:val="28"/>
        </w:rPr>
        <w:t xml:space="preserve"> [</w:t>
      </w:r>
      <w:r w:rsidR="00EC39D7">
        <w:rPr>
          <w:sz w:val="28"/>
          <w:szCs w:val="28"/>
        </w:rPr>
        <w:t>38,</w:t>
      </w:r>
      <w:r w:rsidR="002B7266">
        <w:rPr>
          <w:sz w:val="28"/>
          <w:szCs w:val="28"/>
          <w:lang w:val="uk-UA"/>
        </w:rPr>
        <w:t xml:space="preserve"> </w:t>
      </w:r>
      <w:r w:rsidR="00EC39D7">
        <w:rPr>
          <w:sz w:val="28"/>
          <w:szCs w:val="28"/>
        </w:rPr>
        <w:t>53,</w:t>
      </w:r>
      <w:r w:rsidR="002B7266">
        <w:rPr>
          <w:sz w:val="28"/>
          <w:szCs w:val="28"/>
          <w:lang w:val="uk-UA"/>
        </w:rPr>
        <w:t xml:space="preserve"> </w:t>
      </w:r>
      <w:r w:rsidR="00EC39D7">
        <w:rPr>
          <w:sz w:val="28"/>
          <w:szCs w:val="28"/>
        </w:rPr>
        <w:t>67</w:t>
      </w:r>
      <w:r w:rsidR="00DB00DB" w:rsidRPr="00966737">
        <w:rPr>
          <w:sz w:val="28"/>
          <w:szCs w:val="28"/>
        </w:rPr>
        <w:t>].</w:t>
      </w:r>
    </w:p>
    <w:p w:rsidR="00DB00DB" w:rsidRPr="00966737" w:rsidRDefault="007F4F75" w:rsidP="00DB00DB">
      <w:pPr>
        <w:pStyle w:val="12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Патологічні процеси, що виникають у кровотв</w:t>
      </w:r>
      <w:r w:rsidR="00194AA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рній системі при гос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рому лімфобластному лейкозі, мають у тій чи іншій мірі своє відображення </w:t>
      </w:r>
      <w:r w:rsidR="004A172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4A172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сіх тканинах організму, але найбільш ранні та достатньо чітко виражені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рушення визначаються </w:t>
      </w:r>
      <w:r w:rsidR="00194AA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порожнині рота</w:t>
      </w:r>
      <w:r w:rsidR="00DB00DB" w:rsidRPr="00966737">
        <w:rPr>
          <w:sz w:val="28"/>
          <w:szCs w:val="28"/>
        </w:rPr>
        <w:t xml:space="preserve"> [</w:t>
      </w:r>
      <w:r w:rsidR="00EC39D7">
        <w:rPr>
          <w:sz w:val="28"/>
          <w:szCs w:val="28"/>
        </w:rPr>
        <w:t>9,</w:t>
      </w:r>
      <w:r w:rsidR="002B7266">
        <w:rPr>
          <w:sz w:val="28"/>
          <w:szCs w:val="28"/>
          <w:lang w:val="uk-UA"/>
        </w:rPr>
        <w:t xml:space="preserve"> </w:t>
      </w:r>
      <w:r w:rsidR="00EC39D7">
        <w:rPr>
          <w:sz w:val="28"/>
          <w:szCs w:val="28"/>
        </w:rPr>
        <w:t>10,</w:t>
      </w:r>
      <w:r w:rsidR="002B7266">
        <w:rPr>
          <w:sz w:val="28"/>
          <w:szCs w:val="28"/>
          <w:lang w:val="uk-UA"/>
        </w:rPr>
        <w:t xml:space="preserve"> </w:t>
      </w:r>
      <w:r w:rsidR="00EC39D7">
        <w:rPr>
          <w:sz w:val="28"/>
          <w:szCs w:val="28"/>
        </w:rPr>
        <w:t>11,</w:t>
      </w:r>
      <w:r w:rsidR="002B7266">
        <w:rPr>
          <w:sz w:val="28"/>
          <w:szCs w:val="28"/>
          <w:lang w:val="uk-UA"/>
        </w:rPr>
        <w:t xml:space="preserve"> </w:t>
      </w:r>
      <w:r w:rsidR="00EC39D7">
        <w:rPr>
          <w:sz w:val="28"/>
          <w:szCs w:val="28"/>
        </w:rPr>
        <w:t>12,</w:t>
      </w:r>
      <w:r w:rsidR="002B7266">
        <w:rPr>
          <w:sz w:val="28"/>
          <w:szCs w:val="28"/>
          <w:lang w:val="uk-UA"/>
        </w:rPr>
        <w:t xml:space="preserve"> </w:t>
      </w:r>
      <w:r w:rsidR="00EC39D7">
        <w:rPr>
          <w:sz w:val="28"/>
          <w:szCs w:val="28"/>
        </w:rPr>
        <w:t>13</w:t>
      </w:r>
      <w:r w:rsidR="00DB00DB" w:rsidRPr="00966737">
        <w:rPr>
          <w:sz w:val="28"/>
          <w:szCs w:val="28"/>
        </w:rPr>
        <w:t>].</w:t>
      </w:r>
    </w:p>
    <w:p w:rsidR="00DB00DB" w:rsidRPr="007F4F75" w:rsidRDefault="004A1723" w:rsidP="00DB00DB">
      <w:pPr>
        <w:pStyle w:val="12"/>
        <w:shd w:val="clear" w:color="auto" w:fill="auto"/>
        <w:spacing w:before="0" w:after="0" w:line="360" w:lineRule="auto"/>
        <w:ind w:left="60" w:right="4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7F4F75">
        <w:rPr>
          <w:sz w:val="28"/>
          <w:szCs w:val="28"/>
          <w:lang w:val="uk-UA"/>
        </w:rPr>
        <w:t xml:space="preserve"> даний час, не дивлячись на успіхи, досягнені </w:t>
      </w:r>
      <w:r w:rsidR="00194AA8">
        <w:rPr>
          <w:sz w:val="28"/>
          <w:szCs w:val="28"/>
          <w:lang w:val="uk-UA"/>
        </w:rPr>
        <w:t>в</w:t>
      </w:r>
      <w:r w:rsidR="007F4F75">
        <w:rPr>
          <w:sz w:val="28"/>
          <w:szCs w:val="28"/>
          <w:lang w:val="uk-UA"/>
        </w:rPr>
        <w:t xml:space="preserve"> терапії лейкозів, на</w:t>
      </w:r>
      <w:r w:rsidR="007F4F75">
        <w:rPr>
          <w:sz w:val="28"/>
          <w:szCs w:val="28"/>
          <w:lang w:val="uk-UA"/>
        </w:rPr>
        <w:t>й</w:t>
      </w:r>
      <w:r w:rsidR="007F4F75">
        <w:rPr>
          <w:sz w:val="28"/>
          <w:szCs w:val="28"/>
          <w:lang w:val="uk-UA"/>
        </w:rPr>
        <w:t xml:space="preserve">більш гострою стає проблема збільшення числа хворих з ускладненнями </w:t>
      </w:r>
      <w:r>
        <w:rPr>
          <w:sz w:val="28"/>
          <w:szCs w:val="28"/>
          <w:lang w:val="uk-UA"/>
        </w:rPr>
        <w:t>в</w:t>
      </w:r>
      <w:r w:rsidR="007F4F75">
        <w:rPr>
          <w:sz w:val="28"/>
          <w:szCs w:val="28"/>
          <w:lang w:val="uk-UA"/>
        </w:rPr>
        <w:t xml:space="preserve"> порожнині рота, викликаними застосуванням протилейкозних препаратів</w:t>
      </w:r>
      <w:r w:rsidR="00DB00DB" w:rsidRPr="00966737">
        <w:rPr>
          <w:sz w:val="28"/>
          <w:szCs w:val="28"/>
        </w:rPr>
        <w:t>.</w:t>
      </w:r>
      <w:r w:rsidR="007F4F75">
        <w:rPr>
          <w:sz w:val="28"/>
          <w:szCs w:val="28"/>
          <w:lang w:val="uk-UA"/>
        </w:rPr>
        <w:t xml:space="preserve"> Причому</w:t>
      </w:r>
      <w:r>
        <w:rPr>
          <w:sz w:val="28"/>
          <w:szCs w:val="28"/>
          <w:lang w:val="uk-UA"/>
        </w:rPr>
        <w:t>,</w:t>
      </w:r>
      <w:r w:rsidR="007F4F75">
        <w:rPr>
          <w:sz w:val="28"/>
          <w:szCs w:val="28"/>
          <w:lang w:val="uk-UA"/>
        </w:rPr>
        <w:t xml:space="preserve"> чим інтенсивніше залежно від клініко-гематологічних показань проводиться курс тієї чи іншої хіміотерапії, тим більш виражені патологічні зміни слизової оболонки порожнини рота виявляються </w:t>
      </w:r>
      <w:r w:rsidR="00194AA8">
        <w:rPr>
          <w:sz w:val="28"/>
          <w:szCs w:val="28"/>
          <w:lang w:val="uk-UA"/>
        </w:rPr>
        <w:t>в</w:t>
      </w:r>
      <w:r w:rsidR="007F4F75">
        <w:rPr>
          <w:sz w:val="28"/>
          <w:szCs w:val="28"/>
          <w:lang w:val="uk-UA"/>
        </w:rPr>
        <w:t xml:space="preserve"> пацієнтів</w:t>
      </w:r>
      <w:r w:rsidR="00DB00DB" w:rsidRPr="007F4F75">
        <w:rPr>
          <w:sz w:val="28"/>
          <w:szCs w:val="28"/>
          <w:lang w:val="uk-UA"/>
        </w:rPr>
        <w:t>.</w:t>
      </w:r>
    </w:p>
    <w:p w:rsidR="00DB00DB" w:rsidRPr="00966737" w:rsidRDefault="0028257C" w:rsidP="00DB00DB">
      <w:pPr>
        <w:pStyle w:val="12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28257C">
        <w:rPr>
          <w:sz w:val="28"/>
          <w:szCs w:val="28"/>
        </w:rPr>
        <w:t>Для загальної характеристики, структурного аналізу розповсюдженості стоматологічних захворювань нами було обстежено 126 дітей з гострим лі</w:t>
      </w:r>
      <w:r w:rsidRPr="0028257C">
        <w:rPr>
          <w:sz w:val="28"/>
          <w:szCs w:val="28"/>
        </w:rPr>
        <w:t>м</w:t>
      </w:r>
      <w:r w:rsidRPr="0028257C">
        <w:rPr>
          <w:sz w:val="28"/>
          <w:szCs w:val="28"/>
        </w:rPr>
        <w:t xml:space="preserve">фобластним лейкозом у віці від 2 до 18 років. </w:t>
      </w:r>
      <w:r w:rsidR="004A1723">
        <w:rPr>
          <w:sz w:val="28"/>
          <w:szCs w:val="28"/>
          <w:lang w:val="uk-UA"/>
        </w:rPr>
        <w:t>У</w:t>
      </w:r>
      <w:r w:rsidRPr="0028257C">
        <w:rPr>
          <w:sz w:val="28"/>
          <w:szCs w:val="28"/>
        </w:rPr>
        <w:t xml:space="preserve">сі обстежені діти знаходилися на лікуванні у онкогематологічному відділенні КЗ </w:t>
      </w:r>
      <w:r w:rsidR="002B7266">
        <w:rPr>
          <w:sz w:val="28"/>
          <w:szCs w:val="28"/>
          <w:lang w:val="uk-UA"/>
        </w:rPr>
        <w:t>«</w:t>
      </w:r>
      <w:r w:rsidRPr="0028257C">
        <w:rPr>
          <w:sz w:val="28"/>
          <w:szCs w:val="28"/>
        </w:rPr>
        <w:t>Дніпропетровська обла</w:t>
      </w:r>
      <w:r w:rsidRPr="0028257C">
        <w:rPr>
          <w:sz w:val="28"/>
          <w:szCs w:val="28"/>
        </w:rPr>
        <w:t>с</w:t>
      </w:r>
      <w:r w:rsidRPr="0028257C">
        <w:rPr>
          <w:sz w:val="28"/>
          <w:szCs w:val="28"/>
        </w:rPr>
        <w:t>на дитяча клінічна лікарня № 8</w:t>
      </w:r>
      <w:r w:rsidR="002B7266">
        <w:rPr>
          <w:sz w:val="28"/>
          <w:szCs w:val="28"/>
          <w:lang w:val="uk-UA"/>
        </w:rPr>
        <w:t>»</w:t>
      </w:r>
      <w:r w:rsidRPr="0028257C">
        <w:rPr>
          <w:sz w:val="28"/>
          <w:szCs w:val="28"/>
        </w:rPr>
        <w:t>. Серед них – 44 дівчинки, що складає 34,9% та 82 хлопчик</w:t>
      </w:r>
      <w:r w:rsidR="004A1723">
        <w:rPr>
          <w:sz w:val="28"/>
          <w:szCs w:val="28"/>
          <w:lang w:val="uk-UA"/>
        </w:rPr>
        <w:t>и</w:t>
      </w:r>
      <w:r w:rsidRPr="0028257C">
        <w:rPr>
          <w:sz w:val="28"/>
          <w:szCs w:val="28"/>
        </w:rPr>
        <w:t xml:space="preserve"> і це відповідає 65,1%. </w:t>
      </w:r>
      <w:r w:rsidR="004A1723">
        <w:rPr>
          <w:sz w:val="28"/>
          <w:szCs w:val="28"/>
          <w:lang w:val="uk-UA"/>
        </w:rPr>
        <w:t>У</w:t>
      </w:r>
      <w:r w:rsidRPr="0028257C">
        <w:rPr>
          <w:sz w:val="28"/>
          <w:szCs w:val="28"/>
        </w:rPr>
        <w:t xml:space="preserve">сі обстежені пацієнти були поділені на 3 підгрупи залежно від клінічного </w:t>
      </w:r>
      <w:r w:rsidR="002B7266">
        <w:rPr>
          <w:sz w:val="28"/>
          <w:szCs w:val="28"/>
          <w:lang w:val="uk-UA"/>
        </w:rPr>
        <w:t>п</w:t>
      </w:r>
      <w:r w:rsidR="00194AA8">
        <w:rPr>
          <w:sz w:val="28"/>
          <w:szCs w:val="28"/>
          <w:lang w:val="uk-UA"/>
        </w:rPr>
        <w:t>еребігу</w:t>
      </w:r>
      <w:r w:rsidRPr="0028257C">
        <w:rPr>
          <w:sz w:val="28"/>
          <w:szCs w:val="28"/>
        </w:rPr>
        <w:t xml:space="preserve"> гострого лімфобластного ле</w:t>
      </w:r>
      <w:r w:rsidRPr="0028257C">
        <w:rPr>
          <w:sz w:val="28"/>
          <w:szCs w:val="28"/>
        </w:rPr>
        <w:t>й</w:t>
      </w:r>
      <w:r w:rsidRPr="0028257C">
        <w:rPr>
          <w:sz w:val="28"/>
          <w:szCs w:val="28"/>
        </w:rPr>
        <w:t>козу: 1 підгрупа – це 61 дитина (48,4%) з першим гострим періодом ГЛЛ; 2 під</w:t>
      </w:r>
      <w:r w:rsidR="007B261C">
        <w:rPr>
          <w:sz w:val="28"/>
          <w:szCs w:val="28"/>
          <w:lang w:val="uk-UA"/>
        </w:rPr>
        <w:t>г</w:t>
      </w:r>
      <w:r w:rsidRPr="0028257C">
        <w:rPr>
          <w:sz w:val="28"/>
          <w:szCs w:val="28"/>
        </w:rPr>
        <w:t xml:space="preserve">рупа складала 30 дітей (23,8%) з ГЛЛ у стадії ремісії, а до 3 підгрупи </w:t>
      </w:r>
      <w:r w:rsidR="004A1723">
        <w:rPr>
          <w:sz w:val="28"/>
          <w:szCs w:val="28"/>
          <w:lang w:val="uk-UA"/>
        </w:rPr>
        <w:t>в</w:t>
      </w:r>
      <w:r w:rsidRPr="0028257C">
        <w:rPr>
          <w:sz w:val="28"/>
          <w:szCs w:val="28"/>
        </w:rPr>
        <w:t xml:space="preserve">війшли 35 пацієнтів (27,8%) з рецидивом ГЛЛ. У кожній підгрупі </w:t>
      </w:r>
      <w:r w:rsidR="004A1723">
        <w:rPr>
          <w:sz w:val="28"/>
          <w:szCs w:val="28"/>
          <w:lang w:val="uk-UA"/>
        </w:rPr>
        <w:t>в</w:t>
      </w:r>
      <w:r w:rsidRPr="0028257C">
        <w:rPr>
          <w:sz w:val="28"/>
          <w:szCs w:val="28"/>
        </w:rPr>
        <w:t xml:space="preserve"> пацієнтів вивчали показники гігієни порожнини рота та стан тканин пар</w:t>
      </w:r>
      <w:r w:rsidRPr="0028257C">
        <w:rPr>
          <w:sz w:val="28"/>
          <w:szCs w:val="28"/>
        </w:rPr>
        <w:t>о</w:t>
      </w:r>
      <w:r w:rsidRPr="0028257C">
        <w:rPr>
          <w:sz w:val="28"/>
          <w:szCs w:val="28"/>
        </w:rPr>
        <w:t>донту за допомогою індексної оцінки, прояву на слизовій оболонці порожн</w:t>
      </w:r>
      <w:r w:rsidRPr="0028257C">
        <w:rPr>
          <w:sz w:val="28"/>
          <w:szCs w:val="28"/>
        </w:rPr>
        <w:t>и</w:t>
      </w:r>
      <w:r w:rsidRPr="0028257C">
        <w:rPr>
          <w:sz w:val="28"/>
          <w:szCs w:val="28"/>
        </w:rPr>
        <w:t>ни рота</w:t>
      </w:r>
      <w:r w:rsidR="00DB00DB" w:rsidRPr="00966737">
        <w:rPr>
          <w:sz w:val="28"/>
          <w:szCs w:val="28"/>
        </w:rPr>
        <w:t>.</w:t>
      </w:r>
    </w:p>
    <w:p w:rsidR="00DB00DB" w:rsidRPr="00966737" w:rsidRDefault="0028257C" w:rsidP="00DB00DB">
      <w:pPr>
        <w:pStyle w:val="12"/>
        <w:spacing w:before="0" w:after="0" w:line="360" w:lineRule="auto"/>
        <w:ind w:right="20" w:firstLine="700"/>
        <w:jc w:val="both"/>
        <w:rPr>
          <w:rStyle w:val="16"/>
          <w:sz w:val="28"/>
          <w:szCs w:val="28"/>
        </w:rPr>
      </w:pPr>
      <w:r w:rsidRPr="0028257C">
        <w:rPr>
          <w:rStyle w:val="16"/>
          <w:sz w:val="28"/>
          <w:szCs w:val="28"/>
        </w:rPr>
        <w:t xml:space="preserve">Основні скарги на зміни </w:t>
      </w:r>
      <w:r w:rsidR="004A1723">
        <w:rPr>
          <w:rStyle w:val="16"/>
          <w:sz w:val="28"/>
          <w:szCs w:val="28"/>
          <w:lang w:val="uk-UA"/>
        </w:rPr>
        <w:t>в</w:t>
      </w:r>
      <w:r w:rsidRPr="0028257C">
        <w:rPr>
          <w:rStyle w:val="16"/>
          <w:sz w:val="28"/>
          <w:szCs w:val="28"/>
        </w:rPr>
        <w:t xml:space="preserve"> щелепно-лицевій </w:t>
      </w:r>
      <w:r w:rsidR="004A1723">
        <w:rPr>
          <w:rStyle w:val="16"/>
          <w:sz w:val="28"/>
          <w:szCs w:val="28"/>
          <w:lang w:val="uk-UA"/>
        </w:rPr>
        <w:t>ділянц</w:t>
      </w:r>
      <w:r w:rsidRPr="0028257C">
        <w:rPr>
          <w:rStyle w:val="16"/>
          <w:sz w:val="28"/>
          <w:szCs w:val="28"/>
        </w:rPr>
        <w:t xml:space="preserve">і </w:t>
      </w:r>
      <w:r w:rsidR="004A1723">
        <w:rPr>
          <w:rStyle w:val="16"/>
          <w:sz w:val="28"/>
          <w:szCs w:val="28"/>
          <w:lang w:val="uk-UA"/>
        </w:rPr>
        <w:t>в</w:t>
      </w:r>
      <w:r w:rsidRPr="0028257C">
        <w:rPr>
          <w:rStyle w:val="16"/>
          <w:sz w:val="28"/>
          <w:szCs w:val="28"/>
        </w:rPr>
        <w:t xml:space="preserve"> </w:t>
      </w:r>
      <w:r w:rsidR="004A1723">
        <w:rPr>
          <w:rStyle w:val="16"/>
          <w:sz w:val="28"/>
          <w:szCs w:val="28"/>
          <w:lang w:val="uk-UA"/>
        </w:rPr>
        <w:t>у</w:t>
      </w:r>
      <w:r w:rsidRPr="0028257C">
        <w:rPr>
          <w:rStyle w:val="16"/>
          <w:sz w:val="28"/>
          <w:szCs w:val="28"/>
        </w:rPr>
        <w:t>сіх групах хв</w:t>
      </w:r>
      <w:r w:rsidRPr="0028257C">
        <w:rPr>
          <w:rStyle w:val="16"/>
          <w:sz w:val="28"/>
          <w:szCs w:val="28"/>
        </w:rPr>
        <w:t>о</w:t>
      </w:r>
      <w:r w:rsidR="004A1723">
        <w:rPr>
          <w:rStyle w:val="16"/>
          <w:sz w:val="28"/>
          <w:szCs w:val="28"/>
          <w:lang w:val="uk-UA"/>
        </w:rPr>
        <w:t>р</w:t>
      </w:r>
      <w:r w:rsidRPr="0028257C">
        <w:rPr>
          <w:rStyle w:val="16"/>
          <w:sz w:val="28"/>
          <w:szCs w:val="28"/>
        </w:rPr>
        <w:t>их</w:t>
      </w:r>
      <w:r w:rsidR="004A1723">
        <w:rPr>
          <w:rStyle w:val="16"/>
          <w:sz w:val="28"/>
          <w:szCs w:val="28"/>
          <w:lang w:val="uk-UA"/>
        </w:rPr>
        <w:t xml:space="preserve"> на</w:t>
      </w:r>
      <w:r w:rsidRPr="0028257C">
        <w:rPr>
          <w:rStyle w:val="16"/>
          <w:sz w:val="28"/>
          <w:szCs w:val="28"/>
        </w:rPr>
        <w:t xml:space="preserve"> гостри</w:t>
      </w:r>
      <w:r w:rsidR="004A1723">
        <w:rPr>
          <w:rStyle w:val="16"/>
          <w:sz w:val="28"/>
          <w:szCs w:val="28"/>
          <w:lang w:val="uk-UA"/>
        </w:rPr>
        <w:t>й</w:t>
      </w:r>
      <w:r w:rsidRPr="0028257C">
        <w:rPr>
          <w:rStyle w:val="16"/>
          <w:sz w:val="28"/>
          <w:szCs w:val="28"/>
        </w:rPr>
        <w:t xml:space="preserve"> лімфобластни</w:t>
      </w:r>
      <w:r w:rsidR="004A1723">
        <w:rPr>
          <w:rStyle w:val="16"/>
          <w:sz w:val="28"/>
          <w:szCs w:val="28"/>
          <w:lang w:val="uk-UA"/>
        </w:rPr>
        <w:t>й</w:t>
      </w:r>
      <w:r w:rsidR="004A1723">
        <w:rPr>
          <w:rStyle w:val="16"/>
          <w:sz w:val="28"/>
          <w:szCs w:val="28"/>
        </w:rPr>
        <w:t xml:space="preserve"> лейкоз</w:t>
      </w:r>
      <w:r w:rsidRPr="0028257C">
        <w:rPr>
          <w:rStyle w:val="16"/>
          <w:sz w:val="28"/>
          <w:szCs w:val="28"/>
        </w:rPr>
        <w:t xml:space="preserve"> включали </w:t>
      </w:r>
      <w:r w:rsidR="008A54AE">
        <w:rPr>
          <w:rStyle w:val="16"/>
          <w:sz w:val="28"/>
          <w:szCs w:val="28"/>
          <w:lang w:val="uk-UA"/>
        </w:rPr>
        <w:t>в</w:t>
      </w:r>
      <w:r w:rsidRPr="0028257C">
        <w:rPr>
          <w:rStyle w:val="16"/>
          <w:sz w:val="28"/>
          <w:szCs w:val="28"/>
        </w:rPr>
        <w:t xml:space="preserve"> себе: збільшення лімф</w:t>
      </w:r>
      <w:r w:rsidRPr="0028257C">
        <w:rPr>
          <w:rStyle w:val="16"/>
          <w:sz w:val="28"/>
          <w:szCs w:val="28"/>
        </w:rPr>
        <w:t>о</w:t>
      </w:r>
      <w:r w:rsidRPr="0028257C">
        <w:rPr>
          <w:rStyle w:val="16"/>
          <w:sz w:val="28"/>
          <w:szCs w:val="28"/>
        </w:rPr>
        <w:t>вузлів, болючість у порожнині рота, кровоточивість ясен при чи</w:t>
      </w:r>
      <w:r w:rsidR="004A1723">
        <w:rPr>
          <w:rStyle w:val="16"/>
          <w:sz w:val="28"/>
          <w:szCs w:val="28"/>
          <w:lang w:val="uk-UA"/>
        </w:rPr>
        <w:t xml:space="preserve">щенні </w:t>
      </w:r>
      <w:r w:rsidRPr="0028257C">
        <w:rPr>
          <w:rStyle w:val="16"/>
          <w:sz w:val="28"/>
          <w:szCs w:val="28"/>
        </w:rPr>
        <w:t>зубів та</w:t>
      </w:r>
      <w:r w:rsidR="004A1723">
        <w:rPr>
          <w:rStyle w:val="16"/>
          <w:sz w:val="28"/>
          <w:szCs w:val="28"/>
          <w:lang w:val="uk-UA"/>
        </w:rPr>
        <w:t xml:space="preserve"> під час</w:t>
      </w:r>
      <w:r w:rsidRPr="0028257C">
        <w:rPr>
          <w:rStyle w:val="16"/>
          <w:sz w:val="28"/>
          <w:szCs w:val="28"/>
        </w:rPr>
        <w:t xml:space="preserve"> прийом</w:t>
      </w:r>
      <w:r w:rsidR="004A1723">
        <w:rPr>
          <w:rStyle w:val="16"/>
          <w:sz w:val="28"/>
          <w:szCs w:val="28"/>
          <w:lang w:val="uk-UA"/>
        </w:rPr>
        <w:t>у</w:t>
      </w:r>
      <w:r w:rsidRPr="0028257C">
        <w:rPr>
          <w:rStyle w:val="16"/>
          <w:sz w:val="28"/>
          <w:szCs w:val="28"/>
        </w:rPr>
        <w:t xml:space="preserve"> їжі, наявність гіпертрофії ясен, сухість у порожнині рота, нальот на язиці (табл. 3.1).</w:t>
      </w:r>
      <w:bookmarkStart w:id="1" w:name="bookmark52"/>
    </w:p>
    <w:p w:rsidR="00DB00DB" w:rsidRPr="00FD1D07" w:rsidRDefault="00DB00DB" w:rsidP="00DB00DB">
      <w:pPr>
        <w:pStyle w:val="12"/>
        <w:spacing w:before="0" w:after="0" w:line="360" w:lineRule="auto"/>
        <w:ind w:right="20" w:firstLine="700"/>
        <w:jc w:val="both"/>
        <w:rPr>
          <w:i/>
          <w:sz w:val="28"/>
          <w:szCs w:val="28"/>
        </w:rPr>
      </w:pPr>
    </w:p>
    <w:p w:rsidR="0028257C" w:rsidRPr="00FD1D07" w:rsidRDefault="0028257C" w:rsidP="00DB00DB">
      <w:pPr>
        <w:pStyle w:val="12"/>
        <w:spacing w:before="0" w:after="0" w:line="360" w:lineRule="auto"/>
        <w:ind w:right="20" w:firstLine="700"/>
        <w:jc w:val="both"/>
        <w:rPr>
          <w:i/>
          <w:sz w:val="28"/>
          <w:szCs w:val="28"/>
        </w:rPr>
      </w:pPr>
    </w:p>
    <w:p w:rsidR="0028257C" w:rsidRPr="00FD1D07" w:rsidRDefault="0028257C" w:rsidP="00DB00DB">
      <w:pPr>
        <w:pStyle w:val="12"/>
        <w:spacing w:before="0" w:after="0" w:line="360" w:lineRule="auto"/>
        <w:ind w:right="20" w:firstLine="700"/>
        <w:jc w:val="both"/>
        <w:rPr>
          <w:i/>
          <w:sz w:val="28"/>
          <w:szCs w:val="28"/>
        </w:rPr>
      </w:pPr>
    </w:p>
    <w:p w:rsidR="0028257C" w:rsidRPr="00FD1D07" w:rsidRDefault="0028257C" w:rsidP="00DB00DB">
      <w:pPr>
        <w:pStyle w:val="12"/>
        <w:spacing w:before="0" w:after="0" w:line="360" w:lineRule="auto"/>
        <w:ind w:right="20" w:firstLine="700"/>
        <w:jc w:val="both"/>
        <w:rPr>
          <w:i/>
          <w:sz w:val="28"/>
          <w:szCs w:val="28"/>
        </w:rPr>
      </w:pPr>
    </w:p>
    <w:p w:rsidR="0028257C" w:rsidRPr="00FD1D07" w:rsidRDefault="0028257C" w:rsidP="00DB00DB">
      <w:pPr>
        <w:pStyle w:val="12"/>
        <w:spacing w:before="0" w:after="0" w:line="360" w:lineRule="auto"/>
        <w:ind w:right="20" w:firstLine="700"/>
        <w:jc w:val="both"/>
        <w:rPr>
          <w:i/>
          <w:sz w:val="28"/>
          <w:szCs w:val="28"/>
        </w:rPr>
      </w:pPr>
    </w:p>
    <w:p w:rsidR="00DB00DB" w:rsidRPr="00562169" w:rsidRDefault="00DB00DB" w:rsidP="00EC39D7">
      <w:pPr>
        <w:pStyle w:val="12"/>
        <w:spacing w:before="0" w:after="0" w:line="360" w:lineRule="auto"/>
        <w:ind w:right="20" w:firstLine="0"/>
        <w:jc w:val="both"/>
        <w:rPr>
          <w:i/>
          <w:sz w:val="28"/>
          <w:szCs w:val="28"/>
          <w:lang w:val="uk-UA"/>
        </w:rPr>
      </w:pPr>
    </w:p>
    <w:p w:rsidR="00DB00DB" w:rsidRPr="00966737" w:rsidRDefault="00DB00DB" w:rsidP="00DB00DB">
      <w:pPr>
        <w:pStyle w:val="12"/>
        <w:spacing w:before="0" w:after="0" w:line="360" w:lineRule="auto"/>
        <w:ind w:right="20" w:firstLine="700"/>
        <w:rPr>
          <w:i/>
          <w:sz w:val="28"/>
          <w:szCs w:val="28"/>
        </w:rPr>
      </w:pPr>
      <w:r w:rsidRPr="00966737">
        <w:rPr>
          <w:i/>
          <w:sz w:val="28"/>
          <w:szCs w:val="28"/>
        </w:rPr>
        <w:lastRenderedPageBreak/>
        <w:t>Таблиц</w:t>
      </w:r>
      <w:r w:rsidR="0028257C">
        <w:rPr>
          <w:i/>
          <w:sz w:val="28"/>
          <w:szCs w:val="28"/>
          <w:lang w:val="uk-UA"/>
        </w:rPr>
        <w:t>я</w:t>
      </w:r>
      <w:r w:rsidRPr="00966737">
        <w:rPr>
          <w:i/>
          <w:sz w:val="28"/>
          <w:szCs w:val="28"/>
        </w:rPr>
        <w:t xml:space="preserve"> 3.1</w:t>
      </w:r>
    </w:p>
    <w:p w:rsidR="00DB00DB" w:rsidRPr="00AB0D8F" w:rsidRDefault="0028257C" w:rsidP="00DB00DB">
      <w:pPr>
        <w:pStyle w:val="12"/>
        <w:spacing w:before="0" w:after="0" w:line="360" w:lineRule="auto"/>
        <w:ind w:right="20" w:firstLine="700"/>
        <w:jc w:val="center"/>
        <w:rPr>
          <w:sz w:val="28"/>
          <w:szCs w:val="28"/>
        </w:rPr>
      </w:pPr>
      <w:r w:rsidRPr="00AB0D8F">
        <w:rPr>
          <w:sz w:val="28"/>
          <w:szCs w:val="28"/>
          <w:lang w:val="uk-UA"/>
        </w:rPr>
        <w:t xml:space="preserve">Перші прояви </w:t>
      </w:r>
      <w:r w:rsidR="0057559D" w:rsidRPr="00AB0D8F">
        <w:rPr>
          <w:sz w:val="28"/>
          <w:szCs w:val="28"/>
          <w:lang w:val="uk-UA"/>
        </w:rPr>
        <w:t>в</w:t>
      </w:r>
      <w:r w:rsidRPr="00AB0D8F">
        <w:rPr>
          <w:sz w:val="28"/>
          <w:szCs w:val="28"/>
          <w:lang w:val="uk-UA"/>
        </w:rPr>
        <w:t xml:space="preserve"> порожнині рота </w:t>
      </w:r>
      <w:r w:rsidR="0057559D" w:rsidRPr="00AB0D8F">
        <w:rPr>
          <w:sz w:val="28"/>
          <w:szCs w:val="28"/>
          <w:lang w:val="uk-UA"/>
        </w:rPr>
        <w:t>в</w:t>
      </w:r>
      <w:r w:rsidRPr="00AB0D8F">
        <w:rPr>
          <w:sz w:val="28"/>
          <w:szCs w:val="28"/>
          <w:lang w:val="uk-UA"/>
        </w:rPr>
        <w:t xml:space="preserve"> дітей з ГЛЛ</w:t>
      </w:r>
      <w:bookmarkEnd w:id="1"/>
      <w:r w:rsidR="00DB00DB" w:rsidRPr="00AB0D8F">
        <w:rPr>
          <w:sz w:val="28"/>
          <w:szCs w:val="28"/>
        </w:rPr>
        <w:t>, %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7"/>
        <w:gridCol w:w="2249"/>
        <w:gridCol w:w="1560"/>
        <w:gridCol w:w="1559"/>
      </w:tblGrid>
      <w:tr w:rsidR="00DB00DB" w:rsidRPr="00966737" w:rsidTr="00DB00DB">
        <w:trPr>
          <w:jc w:val="center"/>
        </w:trPr>
        <w:tc>
          <w:tcPr>
            <w:tcW w:w="384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Скарги хворих</w:t>
            </w:r>
          </w:p>
        </w:tc>
        <w:tc>
          <w:tcPr>
            <w:tcW w:w="2249" w:type="dxa"/>
            <w:vAlign w:val="center"/>
          </w:tcPr>
          <w:p w:rsidR="00DB00DB" w:rsidRPr="00966737" w:rsidRDefault="0028257C" w:rsidP="00DB00DB">
            <w:pPr>
              <w:pStyle w:val="12"/>
              <w:shd w:val="clear" w:color="auto" w:fill="auto"/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Перший гострий період</w:t>
            </w:r>
          </w:p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(</w:t>
            </w:r>
            <w:r w:rsidRPr="00966737">
              <w:rPr>
                <w:rFonts w:eastAsia="Calibri"/>
                <w:sz w:val="28"/>
                <w:szCs w:val="28"/>
              </w:rPr>
              <w:t>n=61)</w:t>
            </w:r>
          </w:p>
        </w:tc>
        <w:tc>
          <w:tcPr>
            <w:tcW w:w="1560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Рем</w:t>
            </w:r>
            <w:r w:rsidR="0028257C">
              <w:rPr>
                <w:sz w:val="28"/>
                <w:szCs w:val="28"/>
                <w:lang w:val="uk-UA"/>
              </w:rPr>
              <w:t>і</w:t>
            </w:r>
            <w:r w:rsidRPr="00966737">
              <w:rPr>
                <w:sz w:val="28"/>
                <w:szCs w:val="28"/>
              </w:rPr>
              <w:t>с</w:t>
            </w:r>
            <w:r w:rsidR="0028257C">
              <w:rPr>
                <w:sz w:val="28"/>
                <w:szCs w:val="28"/>
                <w:lang w:val="uk-UA"/>
              </w:rPr>
              <w:t>і</w:t>
            </w:r>
            <w:r w:rsidRPr="00966737">
              <w:rPr>
                <w:sz w:val="28"/>
                <w:szCs w:val="28"/>
              </w:rPr>
              <w:t>я</w:t>
            </w:r>
          </w:p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(</w:t>
            </w:r>
            <w:r w:rsidRPr="00966737">
              <w:rPr>
                <w:rFonts w:eastAsia="Calibri"/>
                <w:sz w:val="28"/>
                <w:szCs w:val="28"/>
              </w:rPr>
              <w:t>n=30)</w:t>
            </w:r>
          </w:p>
        </w:tc>
        <w:tc>
          <w:tcPr>
            <w:tcW w:w="1559" w:type="dxa"/>
            <w:vAlign w:val="center"/>
          </w:tcPr>
          <w:p w:rsidR="00DB00DB" w:rsidRPr="00966737" w:rsidRDefault="0028257C" w:rsidP="00DB00DB">
            <w:pPr>
              <w:pStyle w:val="12"/>
              <w:shd w:val="clear" w:color="auto" w:fill="auto"/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Рецидив</w:t>
            </w:r>
          </w:p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(</w:t>
            </w:r>
            <w:r w:rsidRPr="00966737">
              <w:rPr>
                <w:rFonts w:eastAsia="Calibri"/>
                <w:sz w:val="28"/>
                <w:szCs w:val="28"/>
              </w:rPr>
              <w:t>n=35)</w:t>
            </w:r>
          </w:p>
        </w:tc>
      </w:tr>
      <w:tr w:rsidR="00DB00DB" w:rsidRPr="00966737" w:rsidTr="00DB00DB">
        <w:trPr>
          <w:jc w:val="center"/>
        </w:trPr>
        <w:tc>
          <w:tcPr>
            <w:tcW w:w="384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36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Збільшення лімфовузлів</w:t>
            </w:r>
          </w:p>
        </w:tc>
        <w:tc>
          <w:tcPr>
            <w:tcW w:w="2249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55,7</w:t>
            </w:r>
          </w:p>
        </w:tc>
        <w:tc>
          <w:tcPr>
            <w:tcW w:w="1560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13,3</w:t>
            </w:r>
          </w:p>
        </w:tc>
        <w:tc>
          <w:tcPr>
            <w:tcW w:w="1559" w:type="dxa"/>
            <w:vAlign w:val="center"/>
          </w:tcPr>
          <w:p w:rsidR="00DB00DB" w:rsidRPr="00282F66" w:rsidRDefault="00DB00DB" w:rsidP="00282F66">
            <w:pPr>
              <w:pStyle w:val="12"/>
              <w:shd w:val="clear" w:color="auto" w:fill="auto"/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  <w:lang w:val="uk-UA"/>
              </w:rPr>
            </w:pPr>
            <w:r w:rsidRPr="00966737">
              <w:rPr>
                <w:sz w:val="28"/>
                <w:szCs w:val="28"/>
              </w:rPr>
              <w:t>57,</w:t>
            </w:r>
            <w:r w:rsidR="00282F66">
              <w:rPr>
                <w:sz w:val="28"/>
                <w:szCs w:val="28"/>
                <w:lang w:val="uk-UA"/>
              </w:rPr>
              <w:t>9</w:t>
            </w:r>
          </w:p>
        </w:tc>
      </w:tr>
      <w:tr w:rsidR="00DB00DB" w:rsidRPr="00966737" w:rsidTr="00DB00DB">
        <w:trPr>
          <w:jc w:val="center"/>
        </w:trPr>
        <w:tc>
          <w:tcPr>
            <w:tcW w:w="384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36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Болючість у порожнині рота</w:t>
            </w:r>
          </w:p>
        </w:tc>
        <w:tc>
          <w:tcPr>
            <w:tcW w:w="2249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62,3</w:t>
            </w:r>
          </w:p>
        </w:tc>
        <w:tc>
          <w:tcPr>
            <w:tcW w:w="1560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21,2</w:t>
            </w:r>
          </w:p>
        </w:tc>
        <w:tc>
          <w:tcPr>
            <w:tcW w:w="1559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63,2</w:t>
            </w:r>
          </w:p>
        </w:tc>
      </w:tr>
      <w:tr w:rsidR="00DB00DB" w:rsidRPr="00966737" w:rsidTr="00DB00DB">
        <w:trPr>
          <w:jc w:val="center"/>
        </w:trPr>
        <w:tc>
          <w:tcPr>
            <w:tcW w:w="384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36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Кровоточивість ясен</w:t>
            </w:r>
          </w:p>
        </w:tc>
        <w:tc>
          <w:tcPr>
            <w:tcW w:w="2249" w:type="dxa"/>
            <w:vAlign w:val="center"/>
          </w:tcPr>
          <w:p w:rsidR="00DB00DB" w:rsidRPr="00282F66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82F66">
              <w:rPr>
                <w:sz w:val="28"/>
                <w:szCs w:val="28"/>
              </w:rPr>
              <w:t>47,4</w:t>
            </w:r>
          </w:p>
        </w:tc>
        <w:tc>
          <w:tcPr>
            <w:tcW w:w="1560" w:type="dxa"/>
            <w:vAlign w:val="center"/>
          </w:tcPr>
          <w:p w:rsidR="00DB00DB" w:rsidRPr="00282F66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82F66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vAlign w:val="center"/>
          </w:tcPr>
          <w:p w:rsidR="00DB00DB" w:rsidRPr="00282F66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82F66">
              <w:rPr>
                <w:sz w:val="28"/>
                <w:szCs w:val="28"/>
              </w:rPr>
              <w:t>49,1</w:t>
            </w:r>
          </w:p>
        </w:tc>
      </w:tr>
      <w:tr w:rsidR="00DB00DB" w:rsidRPr="00966737" w:rsidTr="00DB00DB">
        <w:trPr>
          <w:jc w:val="center"/>
        </w:trPr>
        <w:tc>
          <w:tcPr>
            <w:tcW w:w="384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36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Гіпертрофія ясен</w:t>
            </w:r>
          </w:p>
        </w:tc>
        <w:tc>
          <w:tcPr>
            <w:tcW w:w="2249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27,3</w:t>
            </w:r>
          </w:p>
        </w:tc>
        <w:tc>
          <w:tcPr>
            <w:tcW w:w="1560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28,6</w:t>
            </w:r>
          </w:p>
        </w:tc>
      </w:tr>
      <w:tr w:rsidR="00DB00DB" w:rsidRPr="00966737" w:rsidTr="00DB00DB">
        <w:trPr>
          <w:jc w:val="center"/>
        </w:trPr>
        <w:tc>
          <w:tcPr>
            <w:tcW w:w="384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36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Сухість у порожнині рота</w:t>
            </w:r>
          </w:p>
        </w:tc>
        <w:tc>
          <w:tcPr>
            <w:tcW w:w="2249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19,1</w:t>
            </w:r>
          </w:p>
        </w:tc>
        <w:tc>
          <w:tcPr>
            <w:tcW w:w="1560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20,3</w:t>
            </w:r>
          </w:p>
        </w:tc>
      </w:tr>
      <w:tr w:rsidR="00DB00DB" w:rsidRPr="00966737" w:rsidTr="005310F3">
        <w:trPr>
          <w:trHeight w:val="385"/>
          <w:jc w:val="center"/>
        </w:trPr>
        <w:tc>
          <w:tcPr>
            <w:tcW w:w="384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36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Наліт на язику</w:t>
            </w:r>
          </w:p>
        </w:tc>
        <w:tc>
          <w:tcPr>
            <w:tcW w:w="2249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42,3</w:t>
            </w:r>
          </w:p>
        </w:tc>
        <w:tc>
          <w:tcPr>
            <w:tcW w:w="1560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vAlign w:val="center"/>
          </w:tcPr>
          <w:p w:rsidR="00DB00DB" w:rsidRPr="00966737" w:rsidRDefault="00DB00DB" w:rsidP="00DB00DB">
            <w:pPr>
              <w:pStyle w:val="12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43,5</w:t>
            </w:r>
          </w:p>
        </w:tc>
      </w:tr>
    </w:tbl>
    <w:p w:rsidR="00DB00DB" w:rsidRPr="00966737" w:rsidRDefault="00DB00DB" w:rsidP="00DB00DB">
      <w:pPr>
        <w:pStyle w:val="12"/>
        <w:spacing w:before="0" w:after="0" w:line="360" w:lineRule="auto"/>
        <w:ind w:right="20" w:firstLine="697"/>
        <w:jc w:val="both"/>
        <w:rPr>
          <w:sz w:val="28"/>
          <w:szCs w:val="28"/>
        </w:rPr>
      </w:pPr>
    </w:p>
    <w:p w:rsidR="00DB00DB" w:rsidRPr="00966737" w:rsidRDefault="0028257C" w:rsidP="00DB00DB">
      <w:pPr>
        <w:pStyle w:val="12"/>
        <w:shd w:val="clear" w:color="auto" w:fill="auto"/>
        <w:spacing w:before="0" w:after="0" w:line="360" w:lineRule="auto"/>
        <w:ind w:left="100" w:right="120" w:firstLine="697"/>
        <w:jc w:val="both"/>
        <w:rPr>
          <w:sz w:val="28"/>
          <w:szCs w:val="28"/>
        </w:rPr>
      </w:pPr>
      <w:r w:rsidRPr="0028257C">
        <w:rPr>
          <w:sz w:val="28"/>
          <w:szCs w:val="28"/>
        </w:rPr>
        <w:t>Діти з гострим лімфобластним лейкозом також скаржилися на пор</w:t>
      </w:r>
      <w:r w:rsidRPr="0028257C">
        <w:rPr>
          <w:sz w:val="28"/>
          <w:szCs w:val="28"/>
        </w:rPr>
        <w:t>у</w:t>
      </w:r>
      <w:r w:rsidRPr="0028257C">
        <w:rPr>
          <w:sz w:val="28"/>
          <w:szCs w:val="28"/>
        </w:rPr>
        <w:t>шення смакового сприйняття, на неприємний запах з роту, почуття он</w:t>
      </w:r>
      <w:r w:rsidR="0057559D">
        <w:rPr>
          <w:sz w:val="28"/>
          <w:szCs w:val="28"/>
          <w:lang w:val="uk-UA"/>
        </w:rPr>
        <w:t>і</w:t>
      </w:r>
      <w:r w:rsidRPr="0028257C">
        <w:rPr>
          <w:sz w:val="28"/>
          <w:szCs w:val="28"/>
        </w:rPr>
        <w:t>мі</w:t>
      </w:r>
      <w:r w:rsidRPr="0028257C">
        <w:rPr>
          <w:sz w:val="28"/>
          <w:szCs w:val="28"/>
        </w:rPr>
        <w:t>н</w:t>
      </w:r>
      <w:r w:rsidRPr="0028257C">
        <w:rPr>
          <w:sz w:val="28"/>
          <w:szCs w:val="28"/>
        </w:rPr>
        <w:t xml:space="preserve">ня </w:t>
      </w:r>
      <w:r w:rsidR="0057559D">
        <w:rPr>
          <w:sz w:val="28"/>
          <w:szCs w:val="28"/>
          <w:lang w:val="uk-UA"/>
        </w:rPr>
        <w:t>в</w:t>
      </w:r>
      <w:r w:rsidRPr="0028257C">
        <w:rPr>
          <w:sz w:val="28"/>
          <w:szCs w:val="28"/>
        </w:rPr>
        <w:t xml:space="preserve"> інтактних зубах та язику. У 3 пацієнтів підозри на гострий лейкоз з’явилися після тривалої кровотечі, що не припинялася, після екстрації з</w:t>
      </w:r>
      <w:r w:rsidRPr="0028257C">
        <w:rPr>
          <w:sz w:val="28"/>
          <w:szCs w:val="28"/>
        </w:rPr>
        <w:t>у</w:t>
      </w:r>
      <w:r w:rsidRPr="0028257C">
        <w:rPr>
          <w:sz w:val="28"/>
          <w:szCs w:val="28"/>
        </w:rPr>
        <w:t>ба.</w:t>
      </w:r>
    </w:p>
    <w:p w:rsidR="0028257C" w:rsidRDefault="0028257C" w:rsidP="00DB00DB">
      <w:pPr>
        <w:pStyle w:val="12"/>
        <w:shd w:val="clear" w:color="auto" w:fill="auto"/>
        <w:spacing w:before="0" w:after="0" w:line="360" w:lineRule="auto"/>
        <w:ind w:left="100" w:right="120" w:firstLine="697"/>
        <w:jc w:val="both"/>
        <w:rPr>
          <w:sz w:val="28"/>
          <w:szCs w:val="28"/>
          <w:lang w:val="uk-UA"/>
        </w:rPr>
      </w:pPr>
      <w:r w:rsidRPr="0028257C">
        <w:rPr>
          <w:sz w:val="28"/>
          <w:szCs w:val="28"/>
        </w:rPr>
        <w:t>У 2 дітей з гострим лімфобластним лейкозом порушення загального стану та зміни з боку порожнини рота не відмічалися, і діагноз був поста</w:t>
      </w:r>
      <w:r w:rsidRPr="0028257C">
        <w:rPr>
          <w:sz w:val="28"/>
          <w:szCs w:val="28"/>
        </w:rPr>
        <w:t>в</w:t>
      </w:r>
      <w:r w:rsidRPr="0028257C">
        <w:rPr>
          <w:sz w:val="28"/>
          <w:szCs w:val="28"/>
        </w:rPr>
        <w:t>лений на профілактичному о</w:t>
      </w:r>
      <w:r w:rsidR="0057559D">
        <w:rPr>
          <w:sz w:val="28"/>
          <w:szCs w:val="28"/>
          <w:lang w:val="uk-UA"/>
        </w:rPr>
        <w:t>гляд</w:t>
      </w:r>
      <w:r w:rsidRPr="0028257C">
        <w:rPr>
          <w:sz w:val="28"/>
          <w:szCs w:val="28"/>
        </w:rPr>
        <w:t>і при випадковому дослідженні крові.</w:t>
      </w:r>
    </w:p>
    <w:p w:rsidR="0028257C" w:rsidRDefault="0028257C" w:rsidP="00DB00DB">
      <w:pPr>
        <w:pStyle w:val="12"/>
        <w:shd w:val="clear" w:color="auto" w:fill="auto"/>
        <w:spacing w:before="0" w:after="0" w:line="360" w:lineRule="auto"/>
        <w:ind w:left="100" w:right="120" w:firstLine="697"/>
        <w:jc w:val="both"/>
        <w:rPr>
          <w:sz w:val="28"/>
          <w:szCs w:val="28"/>
          <w:lang w:val="uk-UA"/>
        </w:rPr>
      </w:pPr>
      <w:r w:rsidRPr="0028257C">
        <w:rPr>
          <w:sz w:val="28"/>
          <w:szCs w:val="28"/>
        </w:rPr>
        <w:t>За даними епідеміологічного дослідження при гострому лімфоблас</w:t>
      </w:r>
      <w:r w:rsidRPr="0028257C">
        <w:rPr>
          <w:sz w:val="28"/>
          <w:szCs w:val="28"/>
        </w:rPr>
        <w:t>т</w:t>
      </w:r>
      <w:r w:rsidRPr="0028257C">
        <w:rPr>
          <w:sz w:val="28"/>
          <w:szCs w:val="28"/>
        </w:rPr>
        <w:t>ному лейкозі структура виявлених стоматологічних захворювань у конти</w:t>
      </w:r>
      <w:r w:rsidRPr="0028257C">
        <w:rPr>
          <w:sz w:val="28"/>
          <w:szCs w:val="28"/>
        </w:rPr>
        <w:t>н</w:t>
      </w:r>
      <w:r w:rsidRPr="0028257C">
        <w:rPr>
          <w:sz w:val="28"/>
          <w:szCs w:val="28"/>
        </w:rPr>
        <w:t>генту дітей, що був обстежений, наведених у табл.</w:t>
      </w:r>
      <w:r w:rsidR="002B7266">
        <w:rPr>
          <w:sz w:val="28"/>
          <w:szCs w:val="28"/>
          <w:lang w:val="uk-UA"/>
        </w:rPr>
        <w:t xml:space="preserve"> </w:t>
      </w:r>
      <w:r w:rsidRPr="00FD1D07">
        <w:rPr>
          <w:sz w:val="28"/>
          <w:szCs w:val="28"/>
          <w:lang w:val="uk-UA"/>
        </w:rPr>
        <w:t>3.1, характеризується широким спектром змін органів та тканин порожнини рота.</w:t>
      </w:r>
    </w:p>
    <w:p w:rsidR="00DB00DB" w:rsidRPr="00FD1D07" w:rsidRDefault="0028257C" w:rsidP="003B33C5">
      <w:pPr>
        <w:pStyle w:val="12"/>
        <w:shd w:val="clear" w:color="auto" w:fill="auto"/>
        <w:spacing w:before="0" w:after="0" w:line="360" w:lineRule="auto"/>
        <w:ind w:left="100" w:right="120" w:firstLine="697"/>
        <w:jc w:val="both"/>
        <w:rPr>
          <w:sz w:val="28"/>
          <w:szCs w:val="28"/>
          <w:lang w:val="uk-UA"/>
        </w:rPr>
      </w:pPr>
      <w:r w:rsidRPr="0028257C">
        <w:rPr>
          <w:sz w:val="28"/>
          <w:szCs w:val="28"/>
          <w:lang w:val="uk-UA"/>
        </w:rPr>
        <w:t>При об’єктивному дослідженні пацієнтів з гострим лімфобластним лейкозом спостерігалися: блідість кожних покр</w:t>
      </w:r>
      <w:r w:rsidR="0057559D">
        <w:rPr>
          <w:sz w:val="28"/>
          <w:szCs w:val="28"/>
          <w:lang w:val="uk-UA"/>
        </w:rPr>
        <w:t>и</w:t>
      </w:r>
      <w:r w:rsidRPr="0028257C">
        <w:rPr>
          <w:sz w:val="28"/>
          <w:szCs w:val="28"/>
          <w:lang w:val="uk-UA"/>
        </w:rPr>
        <w:t>вів обличчя та слизової оболонки порожнини рота (51,7%), збільшення</w:t>
      </w:r>
      <w:r w:rsidR="0057559D">
        <w:rPr>
          <w:sz w:val="28"/>
          <w:szCs w:val="28"/>
          <w:lang w:val="uk-UA"/>
        </w:rPr>
        <w:t xml:space="preserve"> </w:t>
      </w:r>
      <w:r w:rsidRPr="0028257C">
        <w:rPr>
          <w:sz w:val="28"/>
          <w:szCs w:val="28"/>
          <w:lang w:val="uk-UA"/>
        </w:rPr>
        <w:t xml:space="preserve"> шийних та підщелепних лімфовузлів (46%). </w:t>
      </w:r>
      <w:r w:rsidRPr="00FD1D07">
        <w:rPr>
          <w:sz w:val="28"/>
          <w:szCs w:val="28"/>
          <w:lang w:val="uk-UA"/>
        </w:rPr>
        <w:t xml:space="preserve">Були виявлені </w:t>
      </w:r>
      <w:r w:rsidRPr="00BC4B3E">
        <w:rPr>
          <w:sz w:val="28"/>
          <w:szCs w:val="28"/>
          <w:lang w:val="uk-UA"/>
        </w:rPr>
        <w:t xml:space="preserve">зміни з боку </w:t>
      </w:r>
      <w:r w:rsidR="002B7266" w:rsidRPr="00BC4B3E">
        <w:rPr>
          <w:sz w:val="28"/>
          <w:szCs w:val="28"/>
          <w:lang w:val="uk-UA"/>
        </w:rPr>
        <w:t>червоної</w:t>
      </w:r>
      <w:r w:rsidRPr="00BC4B3E">
        <w:rPr>
          <w:sz w:val="28"/>
          <w:szCs w:val="28"/>
          <w:lang w:val="uk-UA"/>
        </w:rPr>
        <w:t xml:space="preserve"> облямівки губ</w:t>
      </w:r>
      <w:r w:rsidRPr="00FD1D07">
        <w:rPr>
          <w:sz w:val="28"/>
          <w:szCs w:val="28"/>
          <w:lang w:val="uk-UA"/>
        </w:rPr>
        <w:t xml:space="preserve"> у вигляді сухої форми ексфоліативного хейліт</w:t>
      </w:r>
      <w:r w:rsidR="00BC4B3E">
        <w:rPr>
          <w:sz w:val="28"/>
          <w:szCs w:val="28"/>
          <w:lang w:val="uk-UA"/>
        </w:rPr>
        <w:t>у</w:t>
      </w:r>
      <w:r w:rsidRPr="00FD1D07">
        <w:rPr>
          <w:sz w:val="28"/>
          <w:szCs w:val="28"/>
          <w:lang w:val="uk-UA"/>
        </w:rPr>
        <w:t xml:space="preserve"> (2,1 – 7,5 %); також відміч</w:t>
      </w:r>
      <w:r w:rsidRPr="00FD1D07">
        <w:rPr>
          <w:sz w:val="28"/>
          <w:szCs w:val="28"/>
          <w:lang w:val="uk-UA"/>
        </w:rPr>
        <w:t>а</w:t>
      </w:r>
      <w:r w:rsidRPr="00FD1D07">
        <w:rPr>
          <w:sz w:val="28"/>
          <w:szCs w:val="28"/>
          <w:lang w:val="uk-UA"/>
        </w:rPr>
        <w:t>лис</w:t>
      </w:r>
      <w:r w:rsidR="00A46BC4">
        <w:rPr>
          <w:sz w:val="28"/>
          <w:szCs w:val="28"/>
          <w:lang w:val="uk-UA"/>
        </w:rPr>
        <w:t>ь</w:t>
      </w:r>
      <w:r w:rsidRPr="00FD1D07">
        <w:rPr>
          <w:sz w:val="28"/>
          <w:szCs w:val="28"/>
          <w:lang w:val="uk-UA"/>
        </w:rPr>
        <w:t xml:space="preserve"> лущення та сухість губ.</w:t>
      </w:r>
    </w:p>
    <w:p w:rsidR="00DB00DB" w:rsidRPr="00966737" w:rsidRDefault="00DB00DB" w:rsidP="00DB00DB">
      <w:pPr>
        <w:pStyle w:val="12"/>
        <w:shd w:val="clear" w:color="auto" w:fill="auto"/>
        <w:spacing w:before="0" w:after="0" w:line="360" w:lineRule="auto"/>
        <w:ind w:left="20" w:right="20" w:firstLine="700"/>
        <w:rPr>
          <w:i/>
          <w:sz w:val="28"/>
          <w:szCs w:val="28"/>
        </w:rPr>
      </w:pPr>
      <w:r w:rsidRPr="00966737">
        <w:rPr>
          <w:i/>
          <w:sz w:val="28"/>
          <w:szCs w:val="28"/>
        </w:rPr>
        <w:lastRenderedPageBreak/>
        <w:t>Таблиц</w:t>
      </w:r>
      <w:r w:rsidR="0028257C">
        <w:rPr>
          <w:i/>
          <w:sz w:val="28"/>
          <w:szCs w:val="28"/>
          <w:lang w:val="uk-UA"/>
        </w:rPr>
        <w:t>я</w:t>
      </w:r>
      <w:r w:rsidRPr="00966737">
        <w:rPr>
          <w:i/>
          <w:sz w:val="28"/>
          <w:szCs w:val="28"/>
        </w:rPr>
        <w:t xml:space="preserve"> 3.2</w:t>
      </w:r>
    </w:p>
    <w:p w:rsidR="00DB00DB" w:rsidRPr="00AB0D8F" w:rsidRDefault="00AB0D8F" w:rsidP="00DB00DB">
      <w:pPr>
        <w:pStyle w:val="12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28257C" w:rsidRPr="00AB0D8F">
        <w:rPr>
          <w:sz w:val="28"/>
          <w:szCs w:val="28"/>
          <w:lang w:val="uk-UA"/>
        </w:rPr>
        <w:t>Структура стоматологічних захворювань у дітей з ГЛЛ</w:t>
      </w:r>
      <w:r w:rsidR="00DB00DB" w:rsidRPr="00AB0D8F">
        <w:rPr>
          <w:sz w:val="28"/>
          <w:szCs w:val="28"/>
        </w:rPr>
        <w:t>, %</w:t>
      </w: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4727"/>
        <w:gridCol w:w="2078"/>
        <w:gridCol w:w="1430"/>
        <w:gridCol w:w="1405"/>
      </w:tblGrid>
      <w:tr w:rsidR="00DB00DB" w:rsidRPr="00966737" w:rsidTr="003D13E5">
        <w:trPr>
          <w:trHeight w:val="145"/>
        </w:trPr>
        <w:tc>
          <w:tcPr>
            <w:tcW w:w="472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2078" w:type="dxa"/>
            <w:vAlign w:val="center"/>
          </w:tcPr>
          <w:p w:rsidR="0028257C" w:rsidRPr="00966737" w:rsidRDefault="0028257C" w:rsidP="0028257C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Перший гос</w:t>
            </w: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рий період</w:t>
            </w:r>
          </w:p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(</w:t>
            </w:r>
            <w:r w:rsidRPr="00966737">
              <w:rPr>
                <w:rFonts w:eastAsia="Calibri"/>
                <w:sz w:val="28"/>
                <w:szCs w:val="28"/>
              </w:rPr>
              <w:t>n=61)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Рем</w:t>
            </w:r>
            <w:r w:rsidR="0028257C">
              <w:rPr>
                <w:sz w:val="28"/>
                <w:szCs w:val="28"/>
                <w:lang w:val="uk-UA"/>
              </w:rPr>
              <w:t>і</w:t>
            </w:r>
            <w:r w:rsidRPr="00966737">
              <w:rPr>
                <w:sz w:val="28"/>
                <w:szCs w:val="28"/>
              </w:rPr>
              <w:t>с</w:t>
            </w:r>
            <w:r w:rsidR="0028257C">
              <w:rPr>
                <w:sz w:val="28"/>
                <w:szCs w:val="28"/>
                <w:lang w:val="uk-UA"/>
              </w:rPr>
              <w:t>і</w:t>
            </w:r>
            <w:r w:rsidRPr="00966737">
              <w:rPr>
                <w:sz w:val="28"/>
                <w:szCs w:val="28"/>
              </w:rPr>
              <w:t>я</w:t>
            </w:r>
          </w:p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(</w:t>
            </w:r>
            <w:r w:rsidRPr="00966737">
              <w:rPr>
                <w:rFonts w:eastAsia="Calibri"/>
                <w:sz w:val="28"/>
                <w:szCs w:val="28"/>
              </w:rPr>
              <w:t>n=30)</w:t>
            </w:r>
          </w:p>
        </w:tc>
        <w:tc>
          <w:tcPr>
            <w:tcW w:w="1405" w:type="dxa"/>
            <w:vAlign w:val="center"/>
          </w:tcPr>
          <w:p w:rsidR="00DB00DB" w:rsidRPr="0028257C" w:rsidRDefault="0028257C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Рецидив</w:t>
            </w:r>
          </w:p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(</w:t>
            </w:r>
            <w:r w:rsidRPr="00966737">
              <w:rPr>
                <w:rFonts w:eastAsia="Calibri"/>
                <w:sz w:val="28"/>
                <w:szCs w:val="28"/>
              </w:rPr>
              <w:t>n=35)</w:t>
            </w:r>
          </w:p>
        </w:tc>
      </w:tr>
      <w:tr w:rsidR="00DB00DB" w:rsidRPr="00966737" w:rsidTr="003D13E5">
        <w:trPr>
          <w:trHeight w:val="421"/>
        </w:trPr>
        <w:tc>
          <w:tcPr>
            <w:tcW w:w="472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Карієс зубів</w:t>
            </w:r>
          </w:p>
        </w:tc>
        <w:tc>
          <w:tcPr>
            <w:tcW w:w="2078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73,8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76,6</w:t>
            </w:r>
          </w:p>
        </w:tc>
        <w:tc>
          <w:tcPr>
            <w:tcW w:w="1405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79,7</w:t>
            </w:r>
          </w:p>
        </w:tc>
      </w:tr>
      <w:tr w:rsidR="00DB00DB" w:rsidRPr="00966737" w:rsidTr="003D13E5">
        <w:trPr>
          <w:trHeight w:val="145"/>
        </w:trPr>
        <w:tc>
          <w:tcPr>
            <w:tcW w:w="4727" w:type="dxa"/>
            <w:vAlign w:val="center"/>
          </w:tcPr>
          <w:p w:rsidR="00DB00DB" w:rsidRPr="00966737" w:rsidRDefault="0028257C" w:rsidP="0057559D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Запальні захворювання</w:t>
            </w:r>
            <w:r>
              <w:rPr>
                <w:sz w:val="28"/>
                <w:szCs w:val="28"/>
                <w:lang w:val="uk-UA"/>
              </w:rPr>
              <w:br/>
              <w:t xml:space="preserve"> тканин пародонту</w:t>
            </w:r>
          </w:p>
        </w:tc>
        <w:tc>
          <w:tcPr>
            <w:tcW w:w="2078" w:type="dxa"/>
            <w:vAlign w:val="center"/>
          </w:tcPr>
          <w:p w:rsidR="00DB00DB" w:rsidRPr="00177228" w:rsidRDefault="00177228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  <w:r w:rsidR="00DB00DB" w:rsidRPr="00177228">
              <w:rPr>
                <w:sz w:val="28"/>
                <w:szCs w:val="28"/>
              </w:rPr>
              <w:t>,1</w:t>
            </w:r>
          </w:p>
        </w:tc>
        <w:tc>
          <w:tcPr>
            <w:tcW w:w="1430" w:type="dxa"/>
            <w:vAlign w:val="center"/>
          </w:tcPr>
          <w:p w:rsidR="00DB00DB" w:rsidRPr="00177228" w:rsidRDefault="00177228" w:rsidP="00177228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  <w:r w:rsidR="00DB00DB" w:rsidRPr="001772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05" w:type="dxa"/>
            <w:vAlign w:val="center"/>
          </w:tcPr>
          <w:p w:rsidR="00DB00DB" w:rsidRPr="00177228" w:rsidRDefault="00177228" w:rsidP="00177228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  <w:r w:rsidR="00DB00DB" w:rsidRPr="001772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B00DB" w:rsidRPr="00966737" w:rsidTr="003D13E5">
        <w:trPr>
          <w:trHeight w:val="436"/>
        </w:trPr>
        <w:tc>
          <w:tcPr>
            <w:tcW w:w="4727" w:type="dxa"/>
            <w:vAlign w:val="center"/>
          </w:tcPr>
          <w:p w:rsidR="00DB00DB" w:rsidRPr="00966737" w:rsidRDefault="00797B32" w:rsidP="0028257C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Кандидоз</w:t>
            </w:r>
            <w:r w:rsidR="0028257C">
              <w:rPr>
                <w:sz w:val="28"/>
                <w:szCs w:val="28"/>
                <w:lang w:val="uk-UA"/>
              </w:rPr>
              <w:t xml:space="preserve"> СОПР</w:t>
            </w:r>
          </w:p>
        </w:tc>
        <w:tc>
          <w:tcPr>
            <w:tcW w:w="2078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85,2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33,3</w:t>
            </w:r>
          </w:p>
        </w:tc>
        <w:tc>
          <w:tcPr>
            <w:tcW w:w="1405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85,7</w:t>
            </w:r>
          </w:p>
        </w:tc>
      </w:tr>
      <w:tr w:rsidR="00DB00DB" w:rsidRPr="00966737" w:rsidTr="003D13E5">
        <w:trPr>
          <w:trHeight w:val="435"/>
        </w:trPr>
        <w:tc>
          <w:tcPr>
            <w:tcW w:w="472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Геморагічний синдром на СОПР</w:t>
            </w:r>
          </w:p>
        </w:tc>
        <w:tc>
          <w:tcPr>
            <w:tcW w:w="2078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70,5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23,3</w:t>
            </w:r>
          </w:p>
        </w:tc>
        <w:tc>
          <w:tcPr>
            <w:tcW w:w="1405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71,4</w:t>
            </w:r>
          </w:p>
        </w:tc>
      </w:tr>
      <w:tr w:rsidR="00DB00DB" w:rsidRPr="00966737" w:rsidTr="003D13E5">
        <w:trPr>
          <w:trHeight w:val="482"/>
        </w:trPr>
        <w:tc>
          <w:tcPr>
            <w:tcW w:w="472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Виразково-некротичний синдром</w:t>
            </w:r>
          </w:p>
        </w:tc>
        <w:tc>
          <w:tcPr>
            <w:tcW w:w="2078" w:type="dxa"/>
            <w:vAlign w:val="center"/>
          </w:tcPr>
          <w:p w:rsidR="00DB00DB" w:rsidRPr="00177228" w:rsidRDefault="00177228" w:rsidP="00177228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DB00DB" w:rsidRPr="009667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3,3</w:t>
            </w:r>
          </w:p>
        </w:tc>
        <w:tc>
          <w:tcPr>
            <w:tcW w:w="1405" w:type="dxa"/>
            <w:vAlign w:val="center"/>
          </w:tcPr>
          <w:p w:rsidR="00DB00DB" w:rsidRPr="00177228" w:rsidRDefault="00177228" w:rsidP="00177228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DB00DB" w:rsidRPr="009667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B00DB" w:rsidRPr="00966737" w:rsidTr="003D13E5">
        <w:trPr>
          <w:trHeight w:val="482"/>
        </w:trPr>
        <w:tc>
          <w:tcPr>
            <w:tcW w:w="472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Регіонарний лімфаденіт</w:t>
            </w:r>
          </w:p>
        </w:tc>
        <w:tc>
          <w:tcPr>
            <w:tcW w:w="2078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55,7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13,3</w:t>
            </w:r>
          </w:p>
        </w:tc>
        <w:tc>
          <w:tcPr>
            <w:tcW w:w="1405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57,9</w:t>
            </w:r>
          </w:p>
        </w:tc>
      </w:tr>
      <w:tr w:rsidR="00DB00DB" w:rsidRPr="00966737" w:rsidTr="003D13E5">
        <w:trPr>
          <w:trHeight w:val="740"/>
        </w:trPr>
        <w:tc>
          <w:tcPr>
            <w:tcW w:w="472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Гіперпластичний синдром</w:t>
            </w:r>
            <w:r>
              <w:rPr>
                <w:sz w:val="28"/>
                <w:szCs w:val="28"/>
                <w:lang w:val="uk-UA"/>
              </w:rPr>
              <w:br/>
              <w:t xml:space="preserve"> на СОПР</w:t>
            </w:r>
          </w:p>
        </w:tc>
        <w:tc>
          <w:tcPr>
            <w:tcW w:w="2078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52,3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19,3</w:t>
            </w:r>
          </w:p>
        </w:tc>
        <w:tc>
          <w:tcPr>
            <w:tcW w:w="1405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56,7</w:t>
            </w:r>
          </w:p>
        </w:tc>
      </w:tr>
      <w:tr w:rsidR="00DB00DB" w:rsidRPr="00966737" w:rsidTr="003D13E5">
        <w:trPr>
          <w:trHeight w:val="482"/>
        </w:trPr>
        <w:tc>
          <w:tcPr>
            <w:tcW w:w="4727" w:type="dxa"/>
            <w:vAlign w:val="center"/>
          </w:tcPr>
          <w:p w:rsidR="00DB00DB" w:rsidRPr="00966737" w:rsidRDefault="0028257C" w:rsidP="0028257C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ОГС або ХРГС</w:t>
            </w:r>
          </w:p>
        </w:tc>
        <w:tc>
          <w:tcPr>
            <w:tcW w:w="2078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26,2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20,0</w:t>
            </w:r>
          </w:p>
        </w:tc>
        <w:tc>
          <w:tcPr>
            <w:tcW w:w="1405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28,6</w:t>
            </w:r>
          </w:p>
        </w:tc>
      </w:tr>
      <w:tr w:rsidR="00DB00DB" w:rsidRPr="00966737" w:rsidTr="003D13E5">
        <w:trPr>
          <w:trHeight w:val="482"/>
        </w:trPr>
        <w:tc>
          <w:tcPr>
            <w:tcW w:w="4727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ХРАС</w:t>
            </w:r>
          </w:p>
        </w:tc>
        <w:tc>
          <w:tcPr>
            <w:tcW w:w="2078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19,7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16,7</w:t>
            </w:r>
          </w:p>
        </w:tc>
        <w:tc>
          <w:tcPr>
            <w:tcW w:w="1405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20,1</w:t>
            </w:r>
          </w:p>
        </w:tc>
      </w:tr>
      <w:tr w:rsidR="00DB00DB" w:rsidRPr="00966737" w:rsidTr="003D13E5">
        <w:trPr>
          <w:trHeight w:val="482"/>
        </w:trPr>
        <w:tc>
          <w:tcPr>
            <w:tcW w:w="4727" w:type="dxa"/>
            <w:vAlign w:val="center"/>
          </w:tcPr>
          <w:p w:rsidR="00DB00DB" w:rsidRPr="00966737" w:rsidRDefault="001D04EE" w:rsidP="001D04EE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Ксеростомія</w:t>
            </w:r>
          </w:p>
        </w:tc>
        <w:tc>
          <w:tcPr>
            <w:tcW w:w="2078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8,1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3,3</w:t>
            </w:r>
          </w:p>
        </w:tc>
        <w:tc>
          <w:tcPr>
            <w:tcW w:w="1405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8,3</w:t>
            </w:r>
          </w:p>
        </w:tc>
      </w:tr>
      <w:tr w:rsidR="00DB00DB" w:rsidRPr="00966737" w:rsidTr="003D13E5">
        <w:trPr>
          <w:trHeight w:val="482"/>
        </w:trPr>
        <w:tc>
          <w:tcPr>
            <w:tcW w:w="4727" w:type="dxa"/>
            <w:vAlign w:val="center"/>
          </w:tcPr>
          <w:p w:rsidR="00DB00DB" w:rsidRPr="00966737" w:rsidRDefault="001D04EE" w:rsidP="00194AA8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Десквамати</w:t>
            </w:r>
            <w:r w:rsidR="00194AA8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ний глосит</w:t>
            </w:r>
          </w:p>
        </w:tc>
        <w:tc>
          <w:tcPr>
            <w:tcW w:w="2078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18,1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6,7</w:t>
            </w:r>
          </w:p>
        </w:tc>
        <w:tc>
          <w:tcPr>
            <w:tcW w:w="1405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20,0</w:t>
            </w:r>
          </w:p>
        </w:tc>
      </w:tr>
      <w:tr w:rsidR="00DB00DB" w:rsidRPr="00966737" w:rsidTr="003D13E5">
        <w:trPr>
          <w:trHeight w:val="507"/>
        </w:trPr>
        <w:tc>
          <w:tcPr>
            <w:tcW w:w="4727" w:type="dxa"/>
            <w:vAlign w:val="center"/>
          </w:tcPr>
          <w:p w:rsidR="00DB00DB" w:rsidRPr="00966737" w:rsidRDefault="001D04EE" w:rsidP="001D04EE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Ексфоліативний хейліт</w:t>
            </w:r>
          </w:p>
        </w:tc>
        <w:tc>
          <w:tcPr>
            <w:tcW w:w="2078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6,9</w:t>
            </w:r>
          </w:p>
        </w:tc>
        <w:tc>
          <w:tcPr>
            <w:tcW w:w="1430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2,1</w:t>
            </w:r>
          </w:p>
        </w:tc>
        <w:tc>
          <w:tcPr>
            <w:tcW w:w="1405" w:type="dxa"/>
            <w:vAlign w:val="center"/>
          </w:tcPr>
          <w:p w:rsidR="00DB00DB" w:rsidRPr="00966737" w:rsidRDefault="00DB00DB" w:rsidP="003D13E5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966737">
              <w:rPr>
                <w:sz w:val="28"/>
                <w:szCs w:val="28"/>
              </w:rPr>
              <w:t>7,5</w:t>
            </w:r>
          </w:p>
        </w:tc>
      </w:tr>
    </w:tbl>
    <w:p w:rsidR="00DB00DB" w:rsidRPr="00C2430D" w:rsidRDefault="00DB00DB" w:rsidP="00DB00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04EE" w:rsidRDefault="001D04EE" w:rsidP="00DB00DB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1D04EE">
        <w:rPr>
          <w:sz w:val="28"/>
          <w:szCs w:val="28"/>
        </w:rPr>
        <w:t>У</w:t>
      </w:r>
      <w:r w:rsidRPr="00A46BC4">
        <w:rPr>
          <w:sz w:val="28"/>
          <w:szCs w:val="28"/>
          <w:lang w:val="en-US"/>
        </w:rPr>
        <w:t xml:space="preserve"> </w:t>
      </w:r>
      <w:r w:rsidRPr="001D04EE">
        <w:rPr>
          <w:sz w:val="28"/>
          <w:szCs w:val="28"/>
        </w:rPr>
        <w:t>дітей</w:t>
      </w:r>
      <w:r w:rsidRPr="00A46BC4">
        <w:rPr>
          <w:sz w:val="28"/>
          <w:szCs w:val="28"/>
          <w:lang w:val="en-US"/>
        </w:rPr>
        <w:t xml:space="preserve">, </w:t>
      </w:r>
      <w:r w:rsidRPr="001D04EE">
        <w:rPr>
          <w:sz w:val="28"/>
          <w:szCs w:val="28"/>
        </w:rPr>
        <w:t>що</w:t>
      </w:r>
      <w:r w:rsidRPr="00A46BC4">
        <w:rPr>
          <w:sz w:val="28"/>
          <w:szCs w:val="28"/>
          <w:lang w:val="en-US"/>
        </w:rPr>
        <w:t xml:space="preserve"> </w:t>
      </w:r>
      <w:r w:rsidRPr="001D04EE">
        <w:rPr>
          <w:sz w:val="28"/>
          <w:szCs w:val="28"/>
        </w:rPr>
        <w:t>були</w:t>
      </w:r>
      <w:r w:rsidRPr="00A46BC4">
        <w:rPr>
          <w:sz w:val="28"/>
          <w:szCs w:val="28"/>
          <w:lang w:val="en-US"/>
        </w:rPr>
        <w:t xml:space="preserve"> </w:t>
      </w:r>
      <w:r w:rsidRPr="001D04EE">
        <w:rPr>
          <w:sz w:val="28"/>
          <w:szCs w:val="28"/>
        </w:rPr>
        <w:t>обстежені</w:t>
      </w:r>
      <w:r w:rsidRPr="00A46BC4">
        <w:rPr>
          <w:sz w:val="28"/>
          <w:szCs w:val="28"/>
          <w:lang w:val="en-US"/>
        </w:rPr>
        <w:t xml:space="preserve">, </w:t>
      </w:r>
      <w:r w:rsidRPr="001D04EE">
        <w:rPr>
          <w:sz w:val="28"/>
          <w:szCs w:val="28"/>
        </w:rPr>
        <w:t>відмічен</w:t>
      </w:r>
      <w:r w:rsidR="0057559D">
        <w:rPr>
          <w:sz w:val="28"/>
          <w:szCs w:val="28"/>
          <w:lang w:val="uk-UA"/>
        </w:rPr>
        <w:t>о</w:t>
      </w:r>
      <w:r w:rsidRPr="00A46BC4">
        <w:rPr>
          <w:sz w:val="28"/>
          <w:szCs w:val="28"/>
          <w:lang w:val="en-US"/>
        </w:rPr>
        <w:t xml:space="preserve"> </w:t>
      </w:r>
      <w:r w:rsidRPr="001D04EE">
        <w:rPr>
          <w:sz w:val="28"/>
          <w:szCs w:val="28"/>
        </w:rPr>
        <w:t>висок</w:t>
      </w:r>
      <w:r w:rsidR="0057559D">
        <w:rPr>
          <w:sz w:val="28"/>
          <w:szCs w:val="28"/>
          <w:lang w:val="uk-UA"/>
        </w:rPr>
        <w:t>у</w:t>
      </w:r>
      <w:r w:rsidRPr="00A46BC4">
        <w:rPr>
          <w:sz w:val="28"/>
          <w:szCs w:val="28"/>
          <w:lang w:val="en-US"/>
        </w:rPr>
        <w:t xml:space="preserve"> </w:t>
      </w:r>
      <w:r w:rsidRPr="001D04EE">
        <w:rPr>
          <w:sz w:val="28"/>
          <w:szCs w:val="28"/>
        </w:rPr>
        <w:t>розповсюдженість</w:t>
      </w:r>
      <w:r w:rsidRPr="00A46BC4">
        <w:rPr>
          <w:sz w:val="28"/>
          <w:szCs w:val="28"/>
          <w:lang w:val="en-US"/>
        </w:rPr>
        <w:t xml:space="preserve"> </w:t>
      </w:r>
      <w:r w:rsidRPr="001D04EE">
        <w:rPr>
          <w:sz w:val="28"/>
          <w:szCs w:val="28"/>
        </w:rPr>
        <w:t>ур</w:t>
      </w:r>
      <w:r w:rsidRPr="001D04EE">
        <w:rPr>
          <w:sz w:val="28"/>
          <w:szCs w:val="28"/>
        </w:rPr>
        <w:t>а</w:t>
      </w:r>
      <w:r w:rsidRPr="001D04EE">
        <w:rPr>
          <w:sz w:val="28"/>
          <w:szCs w:val="28"/>
        </w:rPr>
        <w:t>ження</w:t>
      </w:r>
      <w:r w:rsidRPr="00A46BC4">
        <w:rPr>
          <w:sz w:val="28"/>
          <w:szCs w:val="28"/>
          <w:lang w:val="en-US"/>
        </w:rPr>
        <w:t xml:space="preserve"> </w:t>
      </w:r>
      <w:r w:rsidRPr="001D04EE">
        <w:rPr>
          <w:sz w:val="28"/>
          <w:szCs w:val="28"/>
        </w:rPr>
        <w:t>зубів</w:t>
      </w:r>
      <w:r w:rsidRPr="00A46BC4">
        <w:rPr>
          <w:sz w:val="28"/>
          <w:szCs w:val="28"/>
          <w:lang w:val="en-US"/>
        </w:rPr>
        <w:t xml:space="preserve"> </w:t>
      </w:r>
      <w:r w:rsidRPr="001D04EE">
        <w:rPr>
          <w:sz w:val="28"/>
          <w:szCs w:val="28"/>
        </w:rPr>
        <w:t>карієсом</w:t>
      </w:r>
      <w:r w:rsidRPr="00A46BC4">
        <w:rPr>
          <w:sz w:val="28"/>
          <w:szCs w:val="28"/>
          <w:lang w:val="en-US"/>
        </w:rPr>
        <w:t xml:space="preserve">, </w:t>
      </w:r>
      <w:r w:rsidRPr="001D04EE">
        <w:rPr>
          <w:sz w:val="28"/>
          <w:szCs w:val="28"/>
        </w:rPr>
        <w:t>яка</w:t>
      </w:r>
      <w:r w:rsidRPr="00A46BC4">
        <w:rPr>
          <w:sz w:val="28"/>
          <w:szCs w:val="28"/>
          <w:lang w:val="en-US"/>
        </w:rPr>
        <w:t xml:space="preserve"> </w:t>
      </w:r>
      <w:r w:rsidRPr="001D04EE">
        <w:rPr>
          <w:sz w:val="28"/>
          <w:szCs w:val="28"/>
        </w:rPr>
        <w:t>склала</w:t>
      </w:r>
      <w:r w:rsidRPr="00A46BC4">
        <w:rPr>
          <w:sz w:val="28"/>
          <w:szCs w:val="28"/>
          <w:lang w:val="en-US"/>
        </w:rPr>
        <w:t xml:space="preserve"> 76,</w:t>
      </w:r>
      <w:r w:rsidR="00C602B4">
        <w:rPr>
          <w:sz w:val="28"/>
          <w:szCs w:val="28"/>
          <w:lang w:val="uk-UA"/>
        </w:rPr>
        <w:t>7</w:t>
      </w:r>
      <w:r w:rsidRPr="00A46BC4">
        <w:rPr>
          <w:sz w:val="28"/>
          <w:szCs w:val="28"/>
          <w:lang w:val="en-US"/>
        </w:rPr>
        <w:t xml:space="preserve">%. </w:t>
      </w:r>
      <w:r w:rsidRPr="001D04EE">
        <w:rPr>
          <w:sz w:val="28"/>
          <w:szCs w:val="28"/>
        </w:rPr>
        <w:t>При огляді твердих тканин зубів звер</w:t>
      </w:r>
      <w:r w:rsidR="002B7266">
        <w:rPr>
          <w:sz w:val="28"/>
          <w:szCs w:val="28"/>
          <w:lang w:val="uk-UA"/>
        </w:rPr>
        <w:t>нув</w:t>
      </w:r>
      <w:r w:rsidRPr="001D04EE">
        <w:rPr>
          <w:sz w:val="28"/>
          <w:szCs w:val="28"/>
        </w:rPr>
        <w:t xml:space="preserve"> на себе увагу той факт, що у більшості хворих ГЛЛ емаль втрачала свій блиск, набувала сір</w:t>
      </w:r>
      <w:r w:rsidR="0057559D">
        <w:rPr>
          <w:sz w:val="28"/>
          <w:szCs w:val="28"/>
          <w:lang w:val="uk-UA"/>
        </w:rPr>
        <w:t>у</w:t>
      </w:r>
      <w:r w:rsidRPr="001D04EE">
        <w:rPr>
          <w:sz w:val="28"/>
          <w:szCs w:val="28"/>
        </w:rPr>
        <w:t>ватого ві</w:t>
      </w:r>
      <w:r w:rsidR="002B7266">
        <w:rPr>
          <w:sz w:val="28"/>
          <w:szCs w:val="28"/>
          <w:lang w:val="uk-UA"/>
        </w:rPr>
        <w:t>д</w:t>
      </w:r>
      <w:r w:rsidRPr="001D04EE">
        <w:rPr>
          <w:sz w:val="28"/>
          <w:szCs w:val="28"/>
        </w:rPr>
        <w:t xml:space="preserve">тінку. Крім того, відмічалося зниження її міцності, емаль ставала крихкою. У хворих </w:t>
      </w:r>
      <w:r w:rsidR="0057559D">
        <w:rPr>
          <w:sz w:val="28"/>
          <w:szCs w:val="28"/>
          <w:lang w:val="uk-UA"/>
        </w:rPr>
        <w:t>була</w:t>
      </w:r>
      <w:r w:rsidRPr="001D04EE">
        <w:rPr>
          <w:sz w:val="28"/>
          <w:szCs w:val="28"/>
        </w:rPr>
        <w:t xml:space="preserve"> велика кількість зруйн</w:t>
      </w:r>
      <w:r w:rsidRPr="001D04EE">
        <w:rPr>
          <w:sz w:val="28"/>
          <w:szCs w:val="28"/>
        </w:rPr>
        <w:t>о</w:t>
      </w:r>
      <w:r w:rsidRPr="001D04EE">
        <w:rPr>
          <w:sz w:val="28"/>
          <w:szCs w:val="28"/>
        </w:rPr>
        <w:t>ваних зубів, причому руйнування коронкової частини зубів у дітей часто проходило без гострої фази пульпіту та періодонтиту.</w:t>
      </w:r>
    </w:p>
    <w:p w:rsidR="001D04EE" w:rsidRDefault="003B33C5" w:rsidP="003B33C5">
      <w:pPr>
        <w:pStyle w:val="12"/>
        <w:shd w:val="clear" w:color="auto" w:fill="auto"/>
        <w:spacing w:before="0" w:after="0" w:line="360" w:lineRule="auto"/>
        <w:ind w:left="100" w:right="1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D04EE" w:rsidRPr="001D04EE">
        <w:rPr>
          <w:sz w:val="28"/>
          <w:szCs w:val="28"/>
        </w:rPr>
        <w:t xml:space="preserve">Важливою задачею наших досліджень було охарактеризувати основні клінічні прояви на СОПР у результаті токсичного впливу хіміотерапії. При огляді слизової оболонки порожнини рота </w:t>
      </w:r>
      <w:r w:rsidR="00194AA8">
        <w:rPr>
          <w:sz w:val="28"/>
          <w:szCs w:val="28"/>
          <w:lang w:val="uk-UA"/>
        </w:rPr>
        <w:t>в дітей,</w:t>
      </w:r>
      <w:r w:rsidR="001D04EE" w:rsidRPr="001D04EE">
        <w:rPr>
          <w:sz w:val="28"/>
          <w:szCs w:val="28"/>
        </w:rPr>
        <w:t xml:space="preserve"> хворих</w:t>
      </w:r>
      <w:r w:rsidR="00194AA8">
        <w:rPr>
          <w:sz w:val="28"/>
          <w:szCs w:val="28"/>
          <w:lang w:val="uk-UA"/>
        </w:rPr>
        <w:t xml:space="preserve"> на</w:t>
      </w:r>
      <w:r w:rsidR="001D04EE" w:rsidRPr="001D04EE">
        <w:rPr>
          <w:sz w:val="28"/>
          <w:szCs w:val="28"/>
        </w:rPr>
        <w:t xml:space="preserve"> ГЛЛ у першу </w:t>
      </w:r>
      <w:r w:rsidR="001D04EE" w:rsidRPr="001D04EE">
        <w:rPr>
          <w:sz w:val="28"/>
          <w:szCs w:val="28"/>
        </w:rPr>
        <w:lastRenderedPageBreak/>
        <w:t>чергу</w:t>
      </w:r>
      <w:r>
        <w:rPr>
          <w:sz w:val="28"/>
          <w:szCs w:val="28"/>
          <w:lang w:val="uk-UA"/>
        </w:rPr>
        <w:t xml:space="preserve"> </w:t>
      </w:r>
      <w:r w:rsidR="001D04EE" w:rsidRPr="003B33C5">
        <w:rPr>
          <w:sz w:val="28"/>
          <w:szCs w:val="28"/>
          <w:lang w:val="uk-UA"/>
        </w:rPr>
        <w:t>звертає на себе увагу її різка блідість, цианотичність, що зумовлен</w:t>
      </w:r>
      <w:r w:rsidR="00255A6B" w:rsidRPr="003B33C5">
        <w:rPr>
          <w:sz w:val="28"/>
          <w:szCs w:val="28"/>
          <w:lang w:val="uk-UA"/>
        </w:rPr>
        <w:t>е</w:t>
      </w:r>
      <w:r w:rsidR="001D04EE" w:rsidRPr="003B33C5">
        <w:rPr>
          <w:sz w:val="28"/>
          <w:szCs w:val="28"/>
          <w:lang w:val="uk-UA"/>
        </w:rPr>
        <w:t xml:space="preserve"> наявністю у хворих анемії.</w:t>
      </w:r>
    </w:p>
    <w:p w:rsidR="001D04EE" w:rsidRDefault="001D04EE" w:rsidP="00DB00DB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1D04EE">
        <w:rPr>
          <w:sz w:val="28"/>
          <w:szCs w:val="28"/>
        </w:rPr>
        <w:t xml:space="preserve">При обстеженні тканин пародонту виявлені значні зміни у стані ясен та міжзубних </w:t>
      </w:r>
      <w:r w:rsidRPr="002B7266">
        <w:rPr>
          <w:sz w:val="28"/>
          <w:szCs w:val="28"/>
        </w:rPr>
        <w:t>сосоч</w:t>
      </w:r>
      <w:r w:rsidR="002B7266" w:rsidRPr="002B7266">
        <w:rPr>
          <w:sz w:val="28"/>
          <w:szCs w:val="28"/>
          <w:lang w:val="uk-UA"/>
        </w:rPr>
        <w:t>к</w:t>
      </w:r>
      <w:r w:rsidRPr="002B7266">
        <w:rPr>
          <w:sz w:val="28"/>
          <w:szCs w:val="28"/>
        </w:rPr>
        <w:t>ів.</w:t>
      </w:r>
      <w:r w:rsidRPr="001D04EE">
        <w:rPr>
          <w:sz w:val="28"/>
          <w:szCs w:val="28"/>
        </w:rPr>
        <w:t xml:space="preserve"> Звертає на себе увагу набряк, гіперемія ясен, обм</w:t>
      </w:r>
      <w:r w:rsidRPr="001D04EE">
        <w:rPr>
          <w:sz w:val="28"/>
          <w:szCs w:val="28"/>
        </w:rPr>
        <w:t>е</w:t>
      </w:r>
      <w:r w:rsidRPr="001D04EE">
        <w:rPr>
          <w:sz w:val="28"/>
          <w:szCs w:val="28"/>
        </w:rPr>
        <w:t>жені вогнища десквамації епітеліального покрову, переважно в області вершин міжзубних сосочків.</w:t>
      </w:r>
    </w:p>
    <w:p w:rsidR="001D04EE" w:rsidRDefault="001D04EE" w:rsidP="00DB00DB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1D04EE">
        <w:rPr>
          <w:sz w:val="28"/>
          <w:szCs w:val="28"/>
          <w:lang w:val="uk-UA"/>
        </w:rPr>
        <w:t xml:space="preserve">Як видно з наведених даних, </w:t>
      </w:r>
      <w:r w:rsidR="00C675A4">
        <w:rPr>
          <w:sz w:val="28"/>
          <w:szCs w:val="28"/>
          <w:lang w:val="uk-UA"/>
        </w:rPr>
        <w:t>в</w:t>
      </w:r>
      <w:r w:rsidRPr="001D04EE">
        <w:rPr>
          <w:sz w:val="28"/>
          <w:szCs w:val="28"/>
          <w:lang w:val="uk-UA"/>
        </w:rPr>
        <w:t xml:space="preserve"> </w:t>
      </w:r>
      <w:r w:rsidR="00C675A4">
        <w:rPr>
          <w:sz w:val="28"/>
          <w:szCs w:val="28"/>
          <w:lang w:val="uk-UA"/>
        </w:rPr>
        <w:t>у</w:t>
      </w:r>
      <w:r w:rsidRPr="001D04EE">
        <w:rPr>
          <w:sz w:val="28"/>
          <w:szCs w:val="28"/>
          <w:lang w:val="uk-UA"/>
        </w:rPr>
        <w:t xml:space="preserve">сіх групах обстежених виявлялася значна кількість хворих із сухістю </w:t>
      </w:r>
      <w:r w:rsidR="00F17221">
        <w:rPr>
          <w:sz w:val="28"/>
          <w:szCs w:val="28"/>
          <w:lang w:val="uk-UA"/>
        </w:rPr>
        <w:t>в</w:t>
      </w:r>
      <w:r w:rsidRPr="001D04EE">
        <w:rPr>
          <w:sz w:val="28"/>
          <w:szCs w:val="28"/>
          <w:lang w:val="uk-UA"/>
        </w:rPr>
        <w:t xml:space="preserve"> порожнині рота, що пов’язан</w:t>
      </w:r>
      <w:r w:rsidR="0057559D">
        <w:rPr>
          <w:sz w:val="28"/>
          <w:szCs w:val="28"/>
          <w:lang w:val="uk-UA"/>
        </w:rPr>
        <w:t>о</w:t>
      </w:r>
      <w:r w:rsidRPr="001D04EE">
        <w:rPr>
          <w:sz w:val="28"/>
          <w:szCs w:val="28"/>
          <w:lang w:val="uk-UA"/>
        </w:rPr>
        <w:t>, скоріш за все, з гіпосалівацією за рахунок дистрофічних процесів у слинних зал</w:t>
      </w:r>
      <w:r w:rsidRPr="001D04EE">
        <w:rPr>
          <w:sz w:val="28"/>
          <w:szCs w:val="28"/>
          <w:lang w:val="uk-UA"/>
        </w:rPr>
        <w:t>о</w:t>
      </w:r>
      <w:r w:rsidRPr="001D04EE">
        <w:rPr>
          <w:sz w:val="28"/>
          <w:szCs w:val="28"/>
          <w:lang w:val="uk-UA"/>
        </w:rPr>
        <w:t xml:space="preserve">зах при лейкозах та з </w:t>
      </w:r>
      <w:r w:rsidR="00797B32">
        <w:rPr>
          <w:sz w:val="28"/>
          <w:szCs w:val="28"/>
          <w:lang w:val="uk-UA"/>
        </w:rPr>
        <w:t>кандидоз</w:t>
      </w:r>
      <w:r w:rsidRPr="001D04EE">
        <w:rPr>
          <w:sz w:val="28"/>
          <w:szCs w:val="28"/>
          <w:lang w:val="uk-UA"/>
        </w:rPr>
        <w:t>ом порожнини рота, явищах анемії, що часто розвиваються при цих захворюваннях.</w:t>
      </w:r>
    </w:p>
    <w:p w:rsidR="001D04EE" w:rsidRDefault="001D04EE" w:rsidP="00DB00DB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1D04EE">
        <w:rPr>
          <w:sz w:val="28"/>
          <w:szCs w:val="28"/>
          <w:lang w:val="uk-UA"/>
        </w:rPr>
        <w:t xml:space="preserve">Під час огляду язика відмічалася його набряклість, що підтверджує фестончатість бокової поверхні та кінчика язика, яка створена відбитками зубів. </w:t>
      </w:r>
      <w:r w:rsidRPr="001D04EE">
        <w:rPr>
          <w:sz w:val="28"/>
          <w:szCs w:val="28"/>
        </w:rPr>
        <w:t>Патологічні явища на слизовій оболонці язика виявлені у 20 (15,9%) дітей у вигляді десквамативного глоситу.</w:t>
      </w:r>
    </w:p>
    <w:p w:rsidR="001D04EE" w:rsidRDefault="001D04EE" w:rsidP="00DB00DB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FD1D07">
        <w:rPr>
          <w:sz w:val="28"/>
          <w:szCs w:val="28"/>
          <w:lang w:val="uk-UA"/>
        </w:rPr>
        <w:t xml:space="preserve">У 75 </w:t>
      </w:r>
      <w:r w:rsidR="00C2430D">
        <w:rPr>
          <w:sz w:val="28"/>
          <w:szCs w:val="28"/>
          <w:lang w:val="uk-UA"/>
        </w:rPr>
        <w:t>людей</w:t>
      </w:r>
      <w:r w:rsidRPr="00FD1D07">
        <w:rPr>
          <w:sz w:val="28"/>
          <w:szCs w:val="28"/>
          <w:lang w:val="uk-UA"/>
        </w:rPr>
        <w:t>, що складає близько 60% обстежених дітей, одночасно з геморагічними проявами на шкірі відмічалися кровоточивість ясен та точ</w:t>
      </w:r>
      <w:r w:rsidRPr="00FD1D07">
        <w:rPr>
          <w:sz w:val="28"/>
          <w:szCs w:val="28"/>
          <w:lang w:val="uk-UA"/>
        </w:rPr>
        <w:t>е</w:t>
      </w:r>
      <w:r w:rsidRPr="00FD1D07">
        <w:rPr>
          <w:sz w:val="28"/>
          <w:szCs w:val="28"/>
          <w:lang w:val="uk-UA"/>
        </w:rPr>
        <w:t xml:space="preserve">чні геморагії на слизовій щок та язика, переважно по лінії змикання зубів – у місцях найбільш вірогідної травматизації СОПР. </w:t>
      </w:r>
      <w:r w:rsidRPr="0057559D">
        <w:rPr>
          <w:sz w:val="28"/>
          <w:szCs w:val="28"/>
          <w:lang w:val="uk-UA"/>
        </w:rPr>
        <w:t>Вони спостерігалися п</w:t>
      </w:r>
      <w:r w:rsidR="0057559D">
        <w:rPr>
          <w:sz w:val="28"/>
          <w:szCs w:val="28"/>
          <w:lang w:val="uk-UA"/>
        </w:rPr>
        <w:t xml:space="preserve">ід час </w:t>
      </w:r>
      <w:r w:rsidRPr="0057559D">
        <w:rPr>
          <w:sz w:val="28"/>
          <w:szCs w:val="28"/>
          <w:lang w:val="uk-UA"/>
        </w:rPr>
        <w:t>прийом</w:t>
      </w:r>
      <w:r w:rsidR="0057559D">
        <w:rPr>
          <w:sz w:val="28"/>
          <w:szCs w:val="28"/>
          <w:lang w:val="uk-UA"/>
        </w:rPr>
        <w:t>у</w:t>
      </w:r>
      <w:r w:rsidRPr="0057559D">
        <w:rPr>
          <w:sz w:val="28"/>
          <w:szCs w:val="28"/>
          <w:lang w:val="uk-UA"/>
        </w:rPr>
        <w:t xml:space="preserve"> їжі, чи</w:t>
      </w:r>
      <w:r w:rsidR="0057559D">
        <w:rPr>
          <w:sz w:val="28"/>
          <w:szCs w:val="28"/>
          <w:lang w:val="uk-UA"/>
        </w:rPr>
        <w:t>щенні</w:t>
      </w:r>
      <w:r w:rsidRPr="0057559D">
        <w:rPr>
          <w:sz w:val="28"/>
          <w:szCs w:val="28"/>
          <w:lang w:val="uk-UA"/>
        </w:rPr>
        <w:t xml:space="preserve"> зубів та зондуванні, хоча </w:t>
      </w:r>
      <w:r w:rsidR="00F17221">
        <w:rPr>
          <w:sz w:val="28"/>
          <w:szCs w:val="28"/>
          <w:lang w:val="uk-UA"/>
        </w:rPr>
        <w:t>в</w:t>
      </w:r>
      <w:r w:rsidRPr="0057559D">
        <w:rPr>
          <w:sz w:val="28"/>
          <w:szCs w:val="28"/>
          <w:lang w:val="uk-UA"/>
        </w:rPr>
        <w:t xml:space="preserve"> деяких хворих вона була спонтанною.</w:t>
      </w:r>
    </w:p>
    <w:p w:rsidR="001D04EE" w:rsidRDefault="001D04EE" w:rsidP="00DB00DB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1D04EE">
        <w:rPr>
          <w:sz w:val="28"/>
          <w:szCs w:val="28"/>
        </w:rPr>
        <w:t>Крововиливи на слизовій оболонці порожнини рота варіювали за формою, розміром, кількістю та локалізацією геморагічних елементів. У наших спостереженнях геморагічні елементи мали чіткий контур, округлу або овальну форму, розміром від п</w:t>
      </w:r>
      <w:r w:rsidR="006F78F6">
        <w:rPr>
          <w:sz w:val="28"/>
          <w:szCs w:val="28"/>
        </w:rPr>
        <w:t>е</w:t>
      </w:r>
      <w:r w:rsidRPr="001D04EE">
        <w:rPr>
          <w:sz w:val="28"/>
          <w:szCs w:val="28"/>
        </w:rPr>
        <w:t xml:space="preserve">техій (1 мм </w:t>
      </w:r>
      <w:r w:rsidR="0057559D">
        <w:rPr>
          <w:sz w:val="28"/>
          <w:szCs w:val="28"/>
          <w:lang w:val="uk-UA"/>
        </w:rPr>
        <w:t>в</w:t>
      </w:r>
      <w:r w:rsidRPr="001D04EE">
        <w:rPr>
          <w:sz w:val="28"/>
          <w:szCs w:val="28"/>
        </w:rPr>
        <w:t xml:space="preserve"> діаметрі) до геморагій (до 3 см </w:t>
      </w:r>
      <w:r w:rsidR="0057559D">
        <w:rPr>
          <w:sz w:val="28"/>
          <w:szCs w:val="28"/>
          <w:lang w:val="uk-UA"/>
        </w:rPr>
        <w:t>в</w:t>
      </w:r>
      <w:r w:rsidRPr="001D04EE">
        <w:rPr>
          <w:sz w:val="28"/>
          <w:szCs w:val="28"/>
        </w:rPr>
        <w:t xml:space="preserve"> діаметрі). Кількість геморагічних елементів розрізнялася від одини</w:t>
      </w:r>
      <w:r w:rsidRPr="001D04EE">
        <w:rPr>
          <w:sz w:val="28"/>
          <w:szCs w:val="28"/>
        </w:rPr>
        <w:t>ч</w:t>
      </w:r>
      <w:r w:rsidRPr="001D04EE">
        <w:rPr>
          <w:sz w:val="28"/>
          <w:szCs w:val="28"/>
        </w:rPr>
        <w:t>них до множинних, число яких у деяких хворих доходило до 100.</w:t>
      </w:r>
    </w:p>
    <w:p w:rsidR="001D04EE" w:rsidRDefault="001D04EE" w:rsidP="00DB00DB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1D04EE">
        <w:rPr>
          <w:sz w:val="28"/>
          <w:szCs w:val="28"/>
        </w:rPr>
        <w:t xml:space="preserve">Одним з найбільш характерних проявів лейкемії </w:t>
      </w:r>
      <w:r w:rsidR="006F78F6">
        <w:rPr>
          <w:sz w:val="28"/>
          <w:szCs w:val="28"/>
          <w:lang w:val="uk-UA"/>
        </w:rPr>
        <w:t>в</w:t>
      </w:r>
      <w:r w:rsidRPr="001D04EE">
        <w:rPr>
          <w:sz w:val="28"/>
          <w:szCs w:val="28"/>
        </w:rPr>
        <w:t xml:space="preserve"> порожнині рота був виразково-некротичний синдром (</w:t>
      </w:r>
      <w:r w:rsidR="00282F66">
        <w:rPr>
          <w:sz w:val="28"/>
          <w:szCs w:val="28"/>
          <w:lang w:val="uk-UA"/>
        </w:rPr>
        <w:t>39</w:t>
      </w:r>
      <w:r w:rsidRPr="001D04EE">
        <w:rPr>
          <w:sz w:val="28"/>
          <w:szCs w:val="28"/>
        </w:rPr>
        <w:t>,</w:t>
      </w:r>
      <w:r w:rsidR="00282F66">
        <w:rPr>
          <w:sz w:val="28"/>
          <w:szCs w:val="28"/>
          <w:lang w:val="uk-UA"/>
        </w:rPr>
        <w:t>4</w:t>
      </w:r>
      <w:r w:rsidR="002B7266">
        <w:rPr>
          <w:sz w:val="28"/>
          <w:szCs w:val="28"/>
          <w:lang w:val="uk-UA"/>
        </w:rPr>
        <w:t>-</w:t>
      </w:r>
      <w:r w:rsidR="00282F66">
        <w:rPr>
          <w:sz w:val="28"/>
          <w:szCs w:val="28"/>
          <w:lang w:val="uk-UA"/>
        </w:rPr>
        <w:t>45</w:t>
      </w:r>
      <w:r w:rsidRPr="001D04EE">
        <w:rPr>
          <w:sz w:val="28"/>
          <w:szCs w:val="28"/>
        </w:rPr>
        <w:t>,</w:t>
      </w:r>
      <w:r w:rsidR="00282F66">
        <w:rPr>
          <w:sz w:val="28"/>
          <w:szCs w:val="28"/>
          <w:lang w:val="uk-UA"/>
        </w:rPr>
        <w:t>3</w:t>
      </w:r>
      <w:r w:rsidRPr="001D04EE">
        <w:rPr>
          <w:sz w:val="28"/>
          <w:szCs w:val="28"/>
        </w:rPr>
        <w:t xml:space="preserve"> %), за наявності якого хворі скаржилися на неприємний запах з роту, болючість при чи</w:t>
      </w:r>
      <w:r w:rsidR="0057559D">
        <w:rPr>
          <w:sz w:val="28"/>
          <w:szCs w:val="28"/>
          <w:lang w:val="uk-UA"/>
        </w:rPr>
        <w:t>щенні</w:t>
      </w:r>
      <w:r w:rsidRPr="001D04EE">
        <w:rPr>
          <w:sz w:val="28"/>
          <w:szCs w:val="28"/>
        </w:rPr>
        <w:t xml:space="preserve"> зубів, </w:t>
      </w:r>
      <w:r w:rsidRPr="001D04EE">
        <w:rPr>
          <w:sz w:val="28"/>
          <w:szCs w:val="28"/>
        </w:rPr>
        <w:lastRenderedPageBreak/>
        <w:t xml:space="preserve">прийомі їжі </w:t>
      </w:r>
      <w:r w:rsidR="0057559D">
        <w:rPr>
          <w:sz w:val="28"/>
          <w:szCs w:val="28"/>
          <w:lang w:val="uk-UA"/>
        </w:rPr>
        <w:t xml:space="preserve"> </w:t>
      </w:r>
      <w:r w:rsidRPr="001D04EE">
        <w:rPr>
          <w:sz w:val="28"/>
          <w:szCs w:val="28"/>
        </w:rPr>
        <w:t xml:space="preserve">та </w:t>
      </w:r>
      <w:r w:rsidR="0057559D">
        <w:rPr>
          <w:sz w:val="28"/>
          <w:szCs w:val="28"/>
          <w:lang w:val="uk-UA"/>
        </w:rPr>
        <w:t xml:space="preserve"> </w:t>
      </w:r>
      <w:r w:rsidR="001A0BE3">
        <w:rPr>
          <w:sz w:val="28"/>
          <w:szCs w:val="28"/>
          <w:lang w:val="uk-UA"/>
        </w:rPr>
        <w:t>у</w:t>
      </w:r>
      <w:r w:rsidRPr="001D04EE">
        <w:rPr>
          <w:sz w:val="28"/>
          <w:szCs w:val="28"/>
        </w:rPr>
        <w:t xml:space="preserve"> </w:t>
      </w:r>
      <w:r w:rsidR="009027B2">
        <w:rPr>
          <w:sz w:val="28"/>
          <w:szCs w:val="28"/>
          <w:lang w:val="uk-UA"/>
        </w:rPr>
        <w:t>с</w:t>
      </w:r>
      <w:r w:rsidRPr="001D04EE">
        <w:rPr>
          <w:sz w:val="28"/>
          <w:szCs w:val="28"/>
        </w:rPr>
        <w:t>покої. Виразково-некротичне</w:t>
      </w:r>
      <w:r w:rsidR="0057559D">
        <w:rPr>
          <w:sz w:val="28"/>
          <w:szCs w:val="28"/>
          <w:lang w:val="uk-UA"/>
        </w:rPr>
        <w:t xml:space="preserve"> </w:t>
      </w:r>
      <w:r w:rsidRPr="001D04EE">
        <w:rPr>
          <w:sz w:val="28"/>
          <w:szCs w:val="28"/>
        </w:rPr>
        <w:t xml:space="preserve"> ураження відмічалося</w:t>
      </w:r>
      <w:r w:rsidR="0057559D">
        <w:rPr>
          <w:sz w:val="28"/>
          <w:szCs w:val="28"/>
          <w:lang w:val="uk-UA"/>
        </w:rPr>
        <w:t xml:space="preserve"> </w:t>
      </w:r>
      <w:r w:rsidRPr="001D04EE">
        <w:rPr>
          <w:sz w:val="28"/>
          <w:szCs w:val="28"/>
        </w:rPr>
        <w:t xml:space="preserve"> у </w:t>
      </w:r>
      <w:r w:rsidR="00C602B4">
        <w:rPr>
          <w:sz w:val="28"/>
          <w:szCs w:val="28"/>
          <w:lang w:val="uk-UA"/>
        </w:rPr>
        <w:t>24</w:t>
      </w:r>
      <w:r w:rsidRPr="001D04EE">
        <w:rPr>
          <w:sz w:val="28"/>
          <w:szCs w:val="28"/>
        </w:rPr>
        <w:t xml:space="preserve"> дітей у першому гострому періоді, у 1 дитини в стадії ремісії та у 1</w:t>
      </w:r>
      <w:r w:rsidR="00C602B4">
        <w:rPr>
          <w:sz w:val="28"/>
          <w:szCs w:val="28"/>
          <w:lang w:val="uk-UA"/>
        </w:rPr>
        <w:t>5</w:t>
      </w:r>
      <w:r w:rsidRPr="001D04EE">
        <w:rPr>
          <w:sz w:val="28"/>
          <w:szCs w:val="28"/>
        </w:rPr>
        <w:t xml:space="preserve"> під час рецидиву ГЛЛ.</w:t>
      </w:r>
    </w:p>
    <w:p w:rsidR="001D04EE" w:rsidRDefault="007B04DE" w:rsidP="007B04DE">
      <w:pPr>
        <w:pStyle w:val="12"/>
        <w:shd w:val="clear" w:color="auto" w:fill="auto"/>
        <w:spacing w:before="0" w:after="0" w:line="360" w:lineRule="auto"/>
        <w:ind w:left="100" w:right="1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D04EE" w:rsidRPr="001D04EE">
        <w:rPr>
          <w:sz w:val="28"/>
          <w:szCs w:val="28"/>
        </w:rPr>
        <w:t>Найчастіше виразково-некротичний синдром спостерігався на сл</w:t>
      </w:r>
      <w:r w:rsidR="001D04EE" w:rsidRPr="001D04EE">
        <w:rPr>
          <w:sz w:val="28"/>
          <w:szCs w:val="28"/>
        </w:rPr>
        <w:t>и</w:t>
      </w:r>
      <w:r w:rsidR="001D04EE" w:rsidRPr="001D04EE">
        <w:rPr>
          <w:sz w:val="28"/>
          <w:szCs w:val="28"/>
        </w:rPr>
        <w:t>зовій оболонці щок, язика та ясенного краю. Така локалізація елементів на слизовій оболонці щок та язика пояснюється, перш за все, частим пошко</w:t>
      </w:r>
      <w:r w:rsidR="001D04EE" w:rsidRPr="001D04EE">
        <w:rPr>
          <w:sz w:val="28"/>
          <w:szCs w:val="28"/>
        </w:rPr>
        <w:t>д</w:t>
      </w:r>
      <w:r w:rsidR="001D04EE" w:rsidRPr="001D04EE">
        <w:rPr>
          <w:sz w:val="28"/>
          <w:szCs w:val="28"/>
        </w:rPr>
        <w:t>женням ц</w:t>
      </w:r>
      <w:r w:rsidR="009027B2">
        <w:rPr>
          <w:sz w:val="28"/>
          <w:szCs w:val="28"/>
        </w:rPr>
        <w:t>их зон СОПР у результаті прикус</w:t>
      </w:r>
      <w:r w:rsidR="009027B2">
        <w:rPr>
          <w:sz w:val="28"/>
          <w:szCs w:val="28"/>
          <w:lang w:val="uk-UA"/>
        </w:rPr>
        <w:t>у</w:t>
      </w:r>
      <w:r w:rsidR="001D04EE" w:rsidRPr="001D04EE">
        <w:rPr>
          <w:sz w:val="28"/>
          <w:szCs w:val="28"/>
        </w:rPr>
        <w:t>вання слизової оболонки або в результаті травми слизової оболонки краями зруйнованих зубів.</w:t>
      </w:r>
    </w:p>
    <w:p w:rsidR="001D04EE" w:rsidRDefault="007B04DE" w:rsidP="007B04DE">
      <w:pPr>
        <w:pStyle w:val="12"/>
        <w:shd w:val="clear" w:color="auto" w:fill="auto"/>
        <w:spacing w:before="0" w:after="0" w:line="360" w:lineRule="auto"/>
        <w:ind w:left="100" w:right="1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D04EE" w:rsidRPr="001D04EE">
        <w:rPr>
          <w:sz w:val="28"/>
          <w:szCs w:val="28"/>
        </w:rPr>
        <w:t xml:space="preserve">Виразково-некротичні елементи були вкриті некротичним нальотом брудно-сірого кольору, який важко знімався та оголював </w:t>
      </w:r>
      <w:r w:rsidR="001D04EE" w:rsidRPr="00FE6D0A">
        <w:rPr>
          <w:sz w:val="28"/>
          <w:szCs w:val="28"/>
        </w:rPr>
        <w:t>кровоточ</w:t>
      </w:r>
      <w:r w:rsidR="00FE6D0A" w:rsidRPr="00FE6D0A">
        <w:rPr>
          <w:sz w:val="28"/>
          <w:szCs w:val="28"/>
          <w:lang w:val="uk-UA"/>
        </w:rPr>
        <w:t>иву</w:t>
      </w:r>
      <w:r w:rsidR="001D04EE" w:rsidRPr="001D04EE">
        <w:rPr>
          <w:sz w:val="28"/>
          <w:szCs w:val="28"/>
        </w:rPr>
        <w:t xml:space="preserve"> п</w:t>
      </w:r>
      <w:r w:rsidR="001D04EE" w:rsidRPr="001D04EE">
        <w:rPr>
          <w:sz w:val="28"/>
          <w:szCs w:val="28"/>
        </w:rPr>
        <w:t>о</w:t>
      </w:r>
      <w:r w:rsidR="001D04EE" w:rsidRPr="001D04EE">
        <w:rPr>
          <w:sz w:val="28"/>
          <w:szCs w:val="28"/>
        </w:rPr>
        <w:t>верхню. Не спостерігалися реактивні явища навколишніх тканин.</w:t>
      </w:r>
    </w:p>
    <w:p w:rsidR="001D04EE" w:rsidRDefault="007B04DE" w:rsidP="007B04DE">
      <w:pPr>
        <w:pStyle w:val="12"/>
        <w:shd w:val="clear" w:color="auto" w:fill="auto"/>
        <w:spacing w:before="0" w:after="0" w:line="360" w:lineRule="auto"/>
        <w:ind w:left="100" w:right="1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D04EE" w:rsidRPr="001D04EE">
        <w:rPr>
          <w:sz w:val="28"/>
          <w:szCs w:val="28"/>
        </w:rPr>
        <w:t>Часто виразково-некротичні елементи виникали на місці геморагій. Таким чином, геморагічні прояви були сприятливим фактором для розви</w:t>
      </w:r>
      <w:r w:rsidR="001D04EE" w:rsidRPr="001D04EE">
        <w:rPr>
          <w:sz w:val="28"/>
          <w:szCs w:val="28"/>
        </w:rPr>
        <w:t>т</w:t>
      </w:r>
      <w:r w:rsidR="001D04EE" w:rsidRPr="001D04EE">
        <w:rPr>
          <w:sz w:val="28"/>
          <w:szCs w:val="28"/>
        </w:rPr>
        <w:t xml:space="preserve">ку </w:t>
      </w:r>
      <w:r w:rsidR="0057559D">
        <w:rPr>
          <w:sz w:val="28"/>
          <w:szCs w:val="28"/>
          <w:lang w:val="uk-UA"/>
        </w:rPr>
        <w:t>в</w:t>
      </w:r>
      <w:r w:rsidR="001D04EE" w:rsidRPr="001D04EE">
        <w:rPr>
          <w:sz w:val="28"/>
          <w:szCs w:val="28"/>
        </w:rPr>
        <w:t xml:space="preserve"> подальшому некроза СОПР.</w:t>
      </w:r>
    </w:p>
    <w:p w:rsidR="001D04EE" w:rsidRDefault="007B04DE" w:rsidP="007B04DE">
      <w:pPr>
        <w:pStyle w:val="12"/>
        <w:shd w:val="clear" w:color="auto" w:fill="auto"/>
        <w:spacing w:before="0" w:after="0" w:line="360" w:lineRule="auto"/>
        <w:ind w:left="100" w:right="1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D04EE" w:rsidRPr="00FD1D07">
        <w:rPr>
          <w:sz w:val="28"/>
          <w:szCs w:val="28"/>
          <w:lang w:val="uk-UA"/>
        </w:rPr>
        <w:t>Гіперпластичний си</w:t>
      </w:r>
      <w:r w:rsidR="00C20A27">
        <w:rPr>
          <w:sz w:val="28"/>
          <w:szCs w:val="28"/>
          <w:lang w:val="uk-UA"/>
        </w:rPr>
        <w:t>н</w:t>
      </w:r>
      <w:r w:rsidR="001D04EE" w:rsidRPr="00FD1D07">
        <w:rPr>
          <w:sz w:val="28"/>
          <w:szCs w:val="28"/>
          <w:lang w:val="uk-UA"/>
        </w:rPr>
        <w:t>дром проявлявся у вигляді збільшення лімфати</w:t>
      </w:r>
      <w:r w:rsidR="001D04EE" w:rsidRPr="00FD1D07">
        <w:rPr>
          <w:sz w:val="28"/>
          <w:szCs w:val="28"/>
          <w:lang w:val="uk-UA"/>
        </w:rPr>
        <w:t>ч</w:t>
      </w:r>
      <w:r w:rsidR="001D04EE" w:rsidRPr="00FD1D07">
        <w:rPr>
          <w:sz w:val="28"/>
          <w:szCs w:val="28"/>
          <w:lang w:val="uk-UA"/>
        </w:rPr>
        <w:t xml:space="preserve">них вузлів, гіпертрофії ясенного краю та гіпертрофії мигдалин. </w:t>
      </w:r>
      <w:r w:rsidR="001D04EE" w:rsidRPr="001D04EE">
        <w:rPr>
          <w:sz w:val="28"/>
          <w:szCs w:val="28"/>
        </w:rPr>
        <w:t xml:space="preserve">Гіперплазія ясенного краю носила як локалізований, так і генералізований характер. Ясенний край деформувався, сосочки збільшувалися </w:t>
      </w:r>
      <w:r>
        <w:rPr>
          <w:sz w:val="28"/>
          <w:szCs w:val="28"/>
          <w:lang w:val="uk-UA"/>
        </w:rPr>
        <w:t>в</w:t>
      </w:r>
      <w:r w:rsidR="001D04EE" w:rsidRPr="001D04EE">
        <w:rPr>
          <w:sz w:val="28"/>
          <w:szCs w:val="28"/>
        </w:rPr>
        <w:t xml:space="preserve"> розмірі, причому, діапазон цього збільшення був різним: від незначної зміни контуру ясенн</w:t>
      </w:r>
      <w:r w:rsidR="001D04EE" w:rsidRPr="001D04EE">
        <w:rPr>
          <w:sz w:val="28"/>
          <w:szCs w:val="28"/>
        </w:rPr>
        <w:t>о</w:t>
      </w:r>
      <w:r w:rsidR="001D04EE" w:rsidRPr="001D04EE">
        <w:rPr>
          <w:sz w:val="28"/>
          <w:szCs w:val="28"/>
        </w:rPr>
        <w:t>го краю в області ши</w:t>
      </w:r>
      <w:r>
        <w:rPr>
          <w:sz w:val="28"/>
          <w:szCs w:val="28"/>
          <w:lang w:val="uk-UA"/>
        </w:rPr>
        <w:t>йо</w:t>
      </w:r>
      <w:r w:rsidR="001D04EE" w:rsidRPr="001D04EE">
        <w:rPr>
          <w:sz w:val="28"/>
          <w:szCs w:val="28"/>
        </w:rPr>
        <w:t>к зубів до повного закриття коронкової частини зуба гіпертрофірованими яснами.</w:t>
      </w:r>
    </w:p>
    <w:p w:rsidR="001D04EE" w:rsidRDefault="001A0BE3" w:rsidP="00DB00DB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Процес</w:t>
      </w:r>
      <w:r w:rsidR="001D04EE" w:rsidRPr="001D04EE">
        <w:rPr>
          <w:sz w:val="28"/>
          <w:szCs w:val="28"/>
        </w:rPr>
        <w:t xml:space="preserve"> часто супроводжувався підвищеною кровоточивістю яс</w:t>
      </w:r>
      <w:r w:rsidR="009027B2">
        <w:rPr>
          <w:sz w:val="28"/>
          <w:szCs w:val="28"/>
        </w:rPr>
        <w:t>ен та слу</w:t>
      </w:r>
      <w:r w:rsidR="007B04DE">
        <w:rPr>
          <w:sz w:val="28"/>
          <w:szCs w:val="28"/>
          <w:lang w:val="uk-UA"/>
        </w:rPr>
        <w:t>жи</w:t>
      </w:r>
      <w:r w:rsidR="009027B2">
        <w:rPr>
          <w:sz w:val="28"/>
          <w:szCs w:val="28"/>
        </w:rPr>
        <w:t>в фоно</w:t>
      </w:r>
      <w:r w:rsidR="001D04EE" w:rsidRPr="001D04EE">
        <w:rPr>
          <w:sz w:val="28"/>
          <w:szCs w:val="28"/>
        </w:rPr>
        <w:t>м</w:t>
      </w:r>
      <w:r w:rsidR="009027B2">
        <w:rPr>
          <w:sz w:val="28"/>
          <w:szCs w:val="28"/>
          <w:lang w:val="uk-UA"/>
        </w:rPr>
        <w:t xml:space="preserve"> </w:t>
      </w:r>
      <w:r w:rsidR="001D04EE" w:rsidRPr="001D04EE">
        <w:rPr>
          <w:sz w:val="28"/>
          <w:szCs w:val="28"/>
        </w:rPr>
        <w:t>для подальшого розвитку виразково-некротичного гінгівіт</w:t>
      </w:r>
      <w:r w:rsidR="007B04DE">
        <w:rPr>
          <w:sz w:val="28"/>
          <w:szCs w:val="28"/>
          <w:lang w:val="uk-UA"/>
        </w:rPr>
        <w:t>у</w:t>
      </w:r>
      <w:r w:rsidR="001D04EE" w:rsidRPr="001D04EE">
        <w:rPr>
          <w:sz w:val="28"/>
          <w:szCs w:val="28"/>
        </w:rPr>
        <w:t xml:space="preserve">. Крім того, важливо відмітити, що гіпертрофія ясен була більш </w:t>
      </w:r>
      <w:r w:rsidR="001D04EE" w:rsidRPr="00867195">
        <w:rPr>
          <w:sz w:val="28"/>
          <w:szCs w:val="28"/>
        </w:rPr>
        <w:t xml:space="preserve">вираженою </w:t>
      </w:r>
      <w:r w:rsidR="00ED5DC0" w:rsidRPr="00867195">
        <w:rPr>
          <w:sz w:val="28"/>
          <w:szCs w:val="28"/>
          <w:lang w:val="uk-UA"/>
        </w:rPr>
        <w:t xml:space="preserve">по </w:t>
      </w:r>
      <w:r w:rsidR="001D04EE" w:rsidRPr="00867195">
        <w:rPr>
          <w:sz w:val="28"/>
          <w:szCs w:val="28"/>
        </w:rPr>
        <w:t>кра</w:t>
      </w:r>
      <w:r w:rsidR="00ED5DC0" w:rsidRPr="00867195">
        <w:rPr>
          <w:sz w:val="28"/>
          <w:szCs w:val="28"/>
          <w:lang w:val="uk-UA"/>
        </w:rPr>
        <w:t>ю</w:t>
      </w:r>
      <w:r w:rsidR="00ED5DC0">
        <w:rPr>
          <w:sz w:val="28"/>
          <w:szCs w:val="28"/>
          <w:lang w:val="uk-UA"/>
        </w:rPr>
        <w:t xml:space="preserve"> </w:t>
      </w:r>
      <w:r w:rsidR="001D04EE" w:rsidRPr="001D04EE">
        <w:rPr>
          <w:sz w:val="28"/>
          <w:szCs w:val="28"/>
        </w:rPr>
        <w:t>коронок та при наявності нависаючого кра</w:t>
      </w:r>
      <w:r w:rsidR="009027B2">
        <w:rPr>
          <w:sz w:val="28"/>
          <w:szCs w:val="28"/>
          <w:lang w:val="uk-UA"/>
        </w:rPr>
        <w:t>ю</w:t>
      </w:r>
      <w:r w:rsidR="001D04EE" w:rsidRPr="001D04EE">
        <w:rPr>
          <w:sz w:val="28"/>
          <w:szCs w:val="28"/>
        </w:rPr>
        <w:t xml:space="preserve"> пломби.</w:t>
      </w:r>
    </w:p>
    <w:p w:rsidR="001D04EE" w:rsidRDefault="001D04EE" w:rsidP="00DB00DB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1D04EE">
        <w:rPr>
          <w:sz w:val="28"/>
          <w:szCs w:val="28"/>
        </w:rPr>
        <w:t>Антибіотики та цитостатичні препарати для лікування ГЛЛ, що вик</w:t>
      </w:r>
      <w:r w:rsidRPr="001D04EE">
        <w:rPr>
          <w:sz w:val="28"/>
          <w:szCs w:val="28"/>
        </w:rPr>
        <w:t>о</w:t>
      </w:r>
      <w:r w:rsidRPr="001D04EE">
        <w:rPr>
          <w:sz w:val="28"/>
          <w:szCs w:val="28"/>
        </w:rPr>
        <w:t>ристовуються паралельно, змінювали мікрофлору порожнини рота, ств</w:t>
      </w:r>
      <w:r w:rsidRPr="001D04EE">
        <w:rPr>
          <w:sz w:val="28"/>
          <w:szCs w:val="28"/>
        </w:rPr>
        <w:t>о</w:t>
      </w:r>
      <w:r w:rsidRPr="001D04EE">
        <w:rPr>
          <w:sz w:val="28"/>
          <w:szCs w:val="28"/>
        </w:rPr>
        <w:t>рюючи сприятливі умови для зростання грибів. Тому при дослідженні сл</w:t>
      </w:r>
      <w:r w:rsidRPr="001D04EE">
        <w:rPr>
          <w:sz w:val="28"/>
          <w:szCs w:val="28"/>
        </w:rPr>
        <w:t>и</w:t>
      </w:r>
      <w:r w:rsidRPr="001D04EE">
        <w:rPr>
          <w:sz w:val="28"/>
          <w:szCs w:val="28"/>
        </w:rPr>
        <w:t xml:space="preserve">зової оболонки порожнини рота </w:t>
      </w:r>
      <w:r w:rsidR="007B04DE">
        <w:rPr>
          <w:sz w:val="28"/>
          <w:szCs w:val="28"/>
          <w:lang w:val="uk-UA"/>
        </w:rPr>
        <w:t>в</w:t>
      </w:r>
      <w:r w:rsidRPr="001D04EE">
        <w:rPr>
          <w:sz w:val="28"/>
          <w:szCs w:val="28"/>
        </w:rPr>
        <w:t xml:space="preserve"> дітей з гострим лімфобластним лейкозом дуже часто ми </w:t>
      </w:r>
      <w:r w:rsidR="009027B2">
        <w:rPr>
          <w:sz w:val="28"/>
          <w:szCs w:val="28"/>
          <w:lang w:val="uk-UA"/>
        </w:rPr>
        <w:t>в</w:t>
      </w:r>
      <w:r w:rsidR="009027B2">
        <w:rPr>
          <w:sz w:val="28"/>
          <w:szCs w:val="28"/>
        </w:rPr>
        <w:t>ід</w:t>
      </w:r>
      <w:r w:rsidR="009027B2">
        <w:rPr>
          <w:sz w:val="28"/>
          <w:szCs w:val="28"/>
          <w:lang w:val="uk-UA"/>
        </w:rPr>
        <w:t>значали</w:t>
      </w:r>
      <w:r w:rsidRPr="001D04EE">
        <w:rPr>
          <w:sz w:val="28"/>
          <w:szCs w:val="28"/>
        </w:rPr>
        <w:t xml:space="preserve"> </w:t>
      </w:r>
      <w:r w:rsidR="00797B32">
        <w:rPr>
          <w:sz w:val="28"/>
          <w:szCs w:val="28"/>
        </w:rPr>
        <w:t>кандидоз</w:t>
      </w:r>
      <w:r w:rsidRPr="001D04EE">
        <w:rPr>
          <w:sz w:val="28"/>
          <w:szCs w:val="28"/>
        </w:rPr>
        <w:t>не ураження СОПР: 85,2</w:t>
      </w:r>
      <w:r w:rsidR="009027B2">
        <w:rPr>
          <w:sz w:val="28"/>
          <w:szCs w:val="28"/>
        </w:rPr>
        <w:t>%</w:t>
      </w:r>
      <w:r w:rsidR="009027B2">
        <w:rPr>
          <w:sz w:val="28"/>
          <w:szCs w:val="28"/>
          <w:lang w:val="uk-UA"/>
        </w:rPr>
        <w:t xml:space="preserve"> </w:t>
      </w:r>
      <w:r w:rsidR="009027B2" w:rsidRPr="00FD1D07">
        <w:rPr>
          <w:sz w:val="28"/>
          <w:szCs w:val="28"/>
          <w:lang w:val="uk-UA"/>
        </w:rPr>
        <w:t>–</w:t>
      </w:r>
      <w:r w:rsidR="009027B2">
        <w:rPr>
          <w:sz w:val="28"/>
          <w:szCs w:val="28"/>
          <w:lang w:val="uk-UA"/>
        </w:rPr>
        <w:t xml:space="preserve"> </w:t>
      </w:r>
      <w:r w:rsidRPr="001D04EE">
        <w:rPr>
          <w:sz w:val="28"/>
          <w:szCs w:val="28"/>
        </w:rPr>
        <w:t xml:space="preserve">у перший </w:t>
      </w:r>
      <w:r w:rsidRPr="001D04EE">
        <w:rPr>
          <w:sz w:val="28"/>
          <w:szCs w:val="28"/>
        </w:rPr>
        <w:lastRenderedPageBreak/>
        <w:t xml:space="preserve">гострий період, 33,3% </w:t>
      </w:r>
      <w:r w:rsidR="009027B2" w:rsidRPr="00FD1D07">
        <w:rPr>
          <w:sz w:val="28"/>
          <w:szCs w:val="28"/>
          <w:lang w:val="uk-UA"/>
        </w:rPr>
        <w:t>–</w:t>
      </w:r>
      <w:r w:rsidRPr="001D04EE">
        <w:rPr>
          <w:sz w:val="28"/>
          <w:szCs w:val="28"/>
        </w:rPr>
        <w:t xml:space="preserve"> у стадії ремісії та 85,7 % випадків під час ре</w:t>
      </w:r>
      <w:r w:rsidR="009027B2">
        <w:rPr>
          <w:sz w:val="28"/>
          <w:szCs w:val="28"/>
          <w:lang w:val="uk-UA"/>
        </w:rPr>
        <w:t>цид</w:t>
      </w:r>
      <w:r w:rsidRPr="001D04EE">
        <w:rPr>
          <w:sz w:val="28"/>
          <w:szCs w:val="28"/>
        </w:rPr>
        <w:t>ив</w:t>
      </w:r>
      <w:r w:rsidR="002A6D9A">
        <w:rPr>
          <w:sz w:val="28"/>
          <w:szCs w:val="28"/>
          <w:lang w:val="uk-UA"/>
        </w:rPr>
        <w:t>у</w:t>
      </w:r>
      <w:r w:rsidRPr="001D04EE">
        <w:rPr>
          <w:sz w:val="28"/>
          <w:szCs w:val="28"/>
        </w:rPr>
        <w:t xml:space="preserve"> ГЛЛ.</w:t>
      </w:r>
    </w:p>
    <w:p w:rsidR="001D04EE" w:rsidRDefault="001D04EE" w:rsidP="00DB00DB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1D04EE">
        <w:rPr>
          <w:sz w:val="28"/>
          <w:szCs w:val="28"/>
        </w:rPr>
        <w:t xml:space="preserve">При </w:t>
      </w:r>
      <w:r w:rsidR="00797B32">
        <w:rPr>
          <w:sz w:val="28"/>
          <w:szCs w:val="28"/>
        </w:rPr>
        <w:t>кандидоз</w:t>
      </w:r>
      <w:r w:rsidRPr="001D04EE">
        <w:rPr>
          <w:sz w:val="28"/>
          <w:szCs w:val="28"/>
        </w:rPr>
        <w:t xml:space="preserve">і СОПР хворі скаржилися на сухість, печіння </w:t>
      </w:r>
      <w:r w:rsidR="007B04DE">
        <w:rPr>
          <w:sz w:val="28"/>
          <w:szCs w:val="28"/>
          <w:lang w:val="uk-UA"/>
        </w:rPr>
        <w:t>в</w:t>
      </w:r>
      <w:r w:rsidRPr="001D04EE">
        <w:rPr>
          <w:sz w:val="28"/>
          <w:szCs w:val="28"/>
        </w:rPr>
        <w:t xml:space="preserve"> поро</w:t>
      </w:r>
      <w:r w:rsidRPr="001D04EE">
        <w:rPr>
          <w:sz w:val="28"/>
          <w:szCs w:val="28"/>
        </w:rPr>
        <w:t>ж</w:t>
      </w:r>
      <w:r w:rsidRPr="001D04EE">
        <w:rPr>
          <w:sz w:val="28"/>
          <w:szCs w:val="28"/>
        </w:rPr>
        <w:t xml:space="preserve">нині рота, порушення смакового сприйняття. Найчастіше </w:t>
      </w:r>
      <w:r w:rsidR="007B04DE">
        <w:rPr>
          <w:sz w:val="28"/>
          <w:szCs w:val="28"/>
          <w:lang w:val="uk-UA"/>
        </w:rPr>
        <w:t>в</w:t>
      </w:r>
      <w:r w:rsidRPr="001D04EE">
        <w:rPr>
          <w:sz w:val="28"/>
          <w:szCs w:val="28"/>
        </w:rPr>
        <w:t xml:space="preserve"> дітей з ГЛЛ зустрічалися 2 форми захворювання: гострий псевдомембранозний </w:t>
      </w:r>
      <w:r w:rsidR="00797B32">
        <w:rPr>
          <w:sz w:val="28"/>
          <w:szCs w:val="28"/>
        </w:rPr>
        <w:t>канд</w:t>
      </w:r>
      <w:r w:rsidR="00797B32">
        <w:rPr>
          <w:sz w:val="28"/>
          <w:szCs w:val="28"/>
        </w:rPr>
        <w:t>и</w:t>
      </w:r>
      <w:r w:rsidR="00797B32">
        <w:rPr>
          <w:sz w:val="28"/>
          <w:szCs w:val="28"/>
        </w:rPr>
        <w:t>доз</w:t>
      </w:r>
      <w:r w:rsidRPr="001D04EE">
        <w:rPr>
          <w:sz w:val="28"/>
          <w:szCs w:val="28"/>
        </w:rPr>
        <w:t xml:space="preserve"> та гострий атрофічний </w:t>
      </w:r>
      <w:r w:rsidR="00797B32">
        <w:rPr>
          <w:sz w:val="28"/>
          <w:szCs w:val="28"/>
        </w:rPr>
        <w:t>кандидоз</w:t>
      </w:r>
      <w:r w:rsidRPr="001D04EE">
        <w:rPr>
          <w:sz w:val="28"/>
          <w:szCs w:val="28"/>
        </w:rPr>
        <w:t>, причому, найчастіше ці клінічні фо</w:t>
      </w:r>
      <w:r w:rsidRPr="001D04EE">
        <w:rPr>
          <w:sz w:val="28"/>
          <w:szCs w:val="28"/>
        </w:rPr>
        <w:t>р</w:t>
      </w:r>
      <w:r w:rsidRPr="001D04EE">
        <w:rPr>
          <w:sz w:val="28"/>
          <w:szCs w:val="28"/>
        </w:rPr>
        <w:t xml:space="preserve">ми поєднувалися. Хронічні форми </w:t>
      </w:r>
      <w:r w:rsidR="00797B32">
        <w:rPr>
          <w:sz w:val="28"/>
          <w:szCs w:val="28"/>
        </w:rPr>
        <w:t>кандидоз</w:t>
      </w:r>
      <w:r w:rsidR="007B04DE">
        <w:rPr>
          <w:sz w:val="28"/>
          <w:szCs w:val="28"/>
          <w:lang w:val="uk-UA"/>
        </w:rPr>
        <w:t>у</w:t>
      </w:r>
      <w:r w:rsidRPr="001D04EE">
        <w:rPr>
          <w:sz w:val="28"/>
          <w:szCs w:val="28"/>
        </w:rPr>
        <w:t xml:space="preserve"> спостерігалися досить рідко.</w:t>
      </w:r>
    </w:p>
    <w:p w:rsidR="001D04EE" w:rsidRDefault="001D04EE" w:rsidP="00DB00DB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1D04EE">
        <w:rPr>
          <w:sz w:val="28"/>
          <w:szCs w:val="28"/>
        </w:rPr>
        <w:t xml:space="preserve">При гострому псевдомембранозному </w:t>
      </w:r>
      <w:r w:rsidR="00797B32">
        <w:rPr>
          <w:sz w:val="28"/>
          <w:szCs w:val="28"/>
        </w:rPr>
        <w:t>кандидоз</w:t>
      </w:r>
      <w:r w:rsidRPr="001D04EE">
        <w:rPr>
          <w:sz w:val="28"/>
          <w:szCs w:val="28"/>
        </w:rPr>
        <w:t>і на слизовій оболонці порожнини рота відмічали наявність характерного сірувато-білого сирного нальоту. Наліт знімався легко, поверхня слизової оболонки під ним пре</w:t>
      </w:r>
      <w:r w:rsidRPr="001D04EE">
        <w:rPr>
          <w:sz w:val="28"/>
          <w:szCs w:val="28"/>
        </w:rPr>
        <w:t>д</w:t>
      </w:r>
      <w:r w:rsidRPr="001D04EE">
        <w:rPr>
          <w:sz w:val="28"/>
          <w:szCs w:val="28"/>
        </w:rPr>
        <w:t>ставляла собою ділянку гіперемії, без ерозування. Слизова оболонка була трохи набряклою та незначно болючою при пальпації.</w:t>
      </w:r>
    </w:p>
    <w:p w:rsidR="00811C57" w:rsidRDefault="00811C57" w:rsidP="00811C57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811C57">
        <w:rPr>
          <w:sz w:val="28"/>
          <w:szCs w:val="28"/>
        </w:rPr>
        <w:t xml:space="preserve">На другому місці за частотою </w:t>
      </w:r>
      <w:r w:rsidR="007B04DE">
        <w:rPr>
          <w:sz w:val="28"/>
          <w:szCs w:val="28"/>
          <w:lang w:val="uk-UA"/>
        </w:rPr>
        <w:t>випадків</w:t>
      </w:r>
      <w:r w:rsidRPr="00811C57">
        <w:rPr>
          <w:sz w:val="28"/>
          <w:szCs w:val="28"/>
        </w:rPr>
        <w:t xml:space="preserve"> був гострий атрофічний </w:t>
      </w:r>
      <w:r w:rsidR="00797B32">
        <w:rPr>
          <w:sz w:val="28"/>
          <w:szCs w:val="28"/>
        </w:rPr>
        <w:t>ка</w:t>
      </w:r>
      <w:r w:rsidR="00797B32">
        <w:rPr>
          <w:sz w:val="28"/>
          <w:szCs w:val="28"/>
        </w:rPr>
        <w:t>н</w:t>
      </w:r>
      <w:r w:rsidR="00797B32">
        <w:rPr>
          <w:sz w:val="28"/>
          <w:szCs w:val="28"/>
        </w:rPr>
        <w:t>дидоз</w:t>
      </w:r>
      <w:r w:rsidRPr="00811C57">
        <w:rPr>
          <w:sz w:val="28"/>
          <w:szCs w:val="28"/>
        </w:rPr>
        <w:t xml:space="preserve">. У цих дітей сосочки язика мали тенденцію до зменшення розміру та атрофії. Слизова оболонка інших відділів при цій формі </w:t>
      </w:r>
      <w:r w:rsidR="00797B32">
        <w:rPr>
          <w:sz w:val="28"/>
          <w:szCs w:val="28"/>
        </w:rPr>
        <w:t>кандидоз</w:t>
      </w:r>
      <w:r w:rsidRPr="00811C57">
        <w:rPr>
          <w:sz w:val="28"/>
          <w:szCs w:val="28"/>
        </w:rPr>
        <w:t>у була стоншеною, сухою, атрофічною, злегка болючою. Гіперемія слизової об</w:t>
      </w:r>
      <w:r w:rsidRPr="00811C57">
        <w:rPr>
          <w:sz w:val="28"/>
          <w:szCs w:val="28"/>
        </w:rPr>
        <w:t>о</w:t>
      </w:r>
      <w:r w:rsidRPr="00811C57">
        <w:rPr>
          <w:sz w:val="28"/>
          <w:szCs w:val="28"/>
        </w:rPr>
        <w:t xml:space="preserve">лонки при гострому атрофічному </w:t>
      </w:r>
      <w:r w:rsidR="00797B32">
        <w:rPr>
          <w:sz w:val="28"/>
          <w:szCs w:val="28"/>
        </w:rPr>
        <w:t>кандидоз</w:t>
      </w:r>
      <w:r w:rsidRPr="00811C57">
        <w:rPr>
          <w:sz w:val="28"/>
          <w:szCs w:val="28"/>
        </w:rPr>
        <w:t>і була незначною.</w:t>
      </w:r>
    </w:p>
    <w:p w:rsidR="00811C57" w:rsidRDefault="00811C57" w:rsidP="009027B2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811C57">
        <w:rPr>
          <w:sz w:val="28"/>
          <w:szCs w:val="28"/>
        </w:rPr>
        <w:t xml:space="preserve">У випадку хронічного гіперпластичного </w:t>
      </w:r>
      <w:r w:rsidR="00797B32">
        <w:rPr>
          <w:sz w:val="28"/>
          <w:szCs w:val="28"/>
        </w:rPr>
        <w:t>кандидоз</w:t>
      </w:r>
      <w:r w:rsidRPr="00811C57">
        <w:rPr>
          <w:sz w:val="28"/>
          <w:szCs w:val="28"/>
        </w:rPr>
        <w:t>у на дорсальній п</w:t>
      </w:r>
      <w:r w:rsidRPr="00811C57">
        <w:rPr>
          <w:sz w:val="28"/>
          <w:szCs w:val="28"/>
        </w:rPr>
        <w:t>о</w:t>
      </w:r>
      <w:r w:rsidRPr="00811C57">
        <w:rPr>
          <w:sz w:val="28"/>
          <w:szCs w:val="28"/>
        </w:rPr>
        <w:t>верхні язика визначалися бляшки сіро-білого кольору, щільно спаяні з підлеглою тканиною. При спробі їх насильного видалення створювалася ерозивна кровоточ</w:t>
      </w:r>
      <w:r w:rsidR="007B04DE">
        <w:rPr>
          <w:sz w:val="28"/>
          <w:szCs w:val="28"/>
          <w:lang w:val="uk-UA"/>
        </w:rPr>
        <w:t>ив</w:t>
      </w:r>
      <w:r w:rsidRPr="00811C57">
        <w:rPr>
          <w:sz w:val="28"/>
          <w:szCs w:val="28"/>
        </w:rPr>
        <w:t>а поверхня.</w:t>
      </w:r>
    </w:p>
    <w:p w:rsidR="00811C57" w:rsidRDefault="00811C57" w:rsidP="00811C57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  <w:lang w:val="uk-UA"/>
        </w:rPr>
      </w:pPr>
      <w:r w:rsidRPr="00811C57">
        <w:rPr>
          <w:sz w:val="28"/>
          <w:szCs w:val="28"/>
          <w:lang w:val="uk-UA"/>
        </w:rPr>
        <w:t xml:space="preserve">Важливе значення має той факт, що </w:t>
      </w:r>
      <w:r w:rsidR="00797B32">
        <w:rPr>
          <w:sz w:val="28"/>
          <w:szCs w:val="28"/>
          <w:lang w:val="uk-UA"/>
        </w:rPr>
        <w:t>кандидоз</w:t>
      </w:r>
      <w:r w:rsidRPr="00811C57">
        <w:rPr>
          <w:sz w:val="28"/>
          <w:szCs w:val="28"/>
          <w:lang w:val="uk-UA"/>
        </w:rPr>
        <w:t xml:space="preserve"> порожнини рота – часте супутнє захворювання при онкологічній патології, що підтверджують р</w:t>
      </w:r>
      <w:r w:rsidRPr="00811C57">
        <w:rPr>
          <w:sz w:val="28"/>
          <w:szCs w:val="28"/>
          <w:lang w:val="uk-UA"/>
        </w:rPr>
        <w:t>е</w:t>
      </w:r>
      <w:r w:rsidRPr="00811C57">
        <w:rPr>
          <w:sz w:val="28"/>
          <w:szCs w:val="28"/>
          <w:lang w:val="uk-UA"/>
        </w:rPr>
        <w:t xml:space="preserve">зультати наших досліджень – висока уражуваність СОПР </w:t>
      </w:r>
      <w:r w:rsidR="00797B32">
        <w:rPr>
          <w:sz w:val="28"/>
          <w:szCs w:val="28"/>
          <w:lang w:val="uk-UA"/>
        </w:rPr>
        <w:t>кандидоз</w:t>
      </w:r>
      <w:r w:rsidRPr="00811C57">
        <w:rPr>
          <w:sz w:val="28"/>
          <w:szCs w:val="28"/>
          <w:lang w:val="uk-UA"/>
        </w:rPr>
        <w:t>ом сп</w:t>
      </w:r>
      <w:r w:rsidRPr="00811C57">
        <w:rPr>
          <w:sz w:val="28"/>
          <w:szCs w:val="28"/>
          <w:lang w:val="uk-UA"/>
        </w:rPr>
        <w:t>о</w:t>
      </w:r>
      <w:r w:rsidRPr="00811C57">
        <w:rPr>
          <w:sz w:val="28"/>
          <w:szCs w:val="28"/>
          <w:lang w:val="uk-UA"/>
        </w:rPr>
        <w:t>стерігається як у гострий період, так і в стадії ремісії та рецидиву.</w:t>
      </w:r>
    </w:p>
    <w:p w:rsidR="00811C57" w:rsidRPr="00811C57" w:rsidRDefault="00811C57" w:rsidP="00811C57">
      <w:pPr>
        <w:pStyle w:val="12"/>
        <w:shd w:val="clear" w:color="auto" w:fill="auto"/>
        <w:spacing w:before="0" w:after="0" w:line="360" w:lineRule="auto"/>
        <w:ind w:left="100" w:right="120" w:firstLine="700"/>
        <w:jc w:val="both"/>
        <w:rPr>
          <w:sz w:val="28"/>
          <w:szCs w:val="28"/>
        </w:rPr>
      </w:pPr>
      <w:r w:rsidRPr="00811C57">
        <w:rPr>
          <w:sz w:val="28"/>
          <w:szCs w:val="28"/>
        </w:rPr>
        <w:t xml:space="preserve">Таким чином, вивчення стану слизової оболонки порожнини рота та її патолого-морфологічних параметрів та характеристик дозволяє припустити наявність у хворого онкогематологічного захворювання з початкового періоду його розвитку. Крім того, дане дослідження у пацієнтів з гострим лімфобластним лейкозом допомагає здійснювати додатковий контроль за </w:t>
      </w:r>
      <w:r w:rsidRPr="00811C57">
        <w:rPr>
          <w:sz w:val="28"/>
          <w:szCs w:val="28"/>
        </w:rPr>
        <w:lastRenderedPageBreak/>
        <w:t>перебігом захворювання, давати оцінку прогноз</w:t>
      </w:r>
      <w:r w:rsidR="009027B2">
        <w:rPr>
          <w:sz w:val="28"/>
          <w:szCs w:val="28"/>
          <w:lang w:val="uk-UA"/>
        </w:rPr>
        <w:t>у</w:t>
      </w:r>
      <w:r w:rsidRPr="00811C57">
        <w:rPr>
          <w:sz w:val="28"/>
          <w:szCs w:val="28"/>
        </w:rPr>
        <w:t xml:space="preserve"> та ефективності його лікування.</w:t>
      </w:r>
    </w:p>
    <w:p w:rsidR="00DB00DB" w:rsidRDefault="00DB00DB" w:rsidP="00DB00DB">
      <w:pPr>
        <w:pStyle w:val="161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11C57" w:rsidRPr="00811C57" w:rsidRDefault="00811C57" w:rsidP="00811C5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1C57">
        <w:rPr>
          <w:rFonts w:ascii="Times New Roman" w:hAnsi="Times New Roman" w:cs="Times New Roman"/>
          <w:b/>
          <w:sz w:val="28"/>
          <w:szCs w:val="28"/>
        </w:rPr>
        <w:t xml:space="preserve">3.2. Стан гігієни порожнини рота </w:t>
      </w:r>
      <w:r w:rsidR="007B04D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11C57">
        <w:rPr>
          <w:rFonts w:ascii="Times New Roman" w:hAnsi="Times New Roman" w:cs="Times New Roman"/>
          <w:b/>
          <w:sz w:val="28"/>
          <w:szCs w:val="28"/>
        </w:rPr>
        <w:t xml:space="preserve"> дітей </w:t>
      </w:r>
      <w:r w:rsidR="0013556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11C57">
        <w:rPr>
          <w:rFonts w:ascii="Times New Roman" w:hAnsi="Times New Roman" w:cs="Times New Roman"/>
          <w:b/>
          <w:sz w:val="28"/>
          <w:szCs w:val="28"/>
        </w:rPr>
        <w:t>з гострим лімфобластним лейкозом.</w:t>
      </w:r>
    </w:p>
    <w:p w:rsidR="00811C57" w:rsidRPr="00811C57" w:rsidRDefault="00811C57" w:rsidP="00DB00DB">
      <w:pPr>
        <w:pStyle w:val="161"/>
        <w:spacing w:line="360" w:lineRule="auto"/>
        <w:ind w:firstLine="708"/>
        <w:jc w:val="both"/>
        <w:rPr>
          <w:sz w:val="28"/>
          <w:szCs w:val="28"/>
        </w:rPr>
      </w:pPr>
      <w:r w:rsidRPr="00811C57">
        <w:rPr>
          <w:sz w:val="28"/>
          <w:szCs w:val="28"/>
        </w:rPr>
        <w:t>Важливість пра</w:t>
      </w:r>
      <w:r w:rsidR="007B04DE">
        <w:rPr>
          <w:sz w:val="28"/>
          <w:szCs w:val="28"/>
        </w:rPr>
        <w:t>вильного гігієнічного виховання</w:t>
      </w:r>
      <w:r w:rsidRPr="00811C57">
        <w:rPr>
          <w:sz w:val="28"/>
          <w:szCs w:val="28"/>
        </w:rPr>
        <w:t xml:space="preserve"> як здорових дітей, так і з соматичною патологією, дуже велика. Оскільки </w:t>
      </w:r>
      <w:r w:rsidR="007B04DE">
        <w:rPr>
          <w:sz w:val="28"/>
          <w:szCs w:val="28"/>
          <w:lang w:val="uk-UA"/>
        </w:rPr>
        <w:t>в</w:t>
      </w:r>
      <w:r w:rsidRPr="00811C57">
        <w:rPr>
          <w:sz w:val="28"/>
          <w:szCs w:val="28"/>
        </w:rPr>
        <w:t xml:space="preserve"> більшості дітей ще не сформувалася</w:t>
      </w:r>
      <w:r w:rsidR="009B3642">
        <w:rPr>
          <w:sz w:val="28"/>
          <w:szCs w:val="28"/>
        </w:rPr>
        <w:t xml:space="preserve"> потреба </w:t>
      </w:r>
      <w:r w:rsidR="007B04DE">
        <w:rPr>
          <w:sz w:val="28"/>
          <w:szCs w:val="28"/>
          <w:lang w:val="uk-UA"/>
        </w:rPr>
        <w:t>в</w:t>
      </w:r>
      <w:r w:rsidR="009B3642">
        <w:rPr>
          <w:sz w:val="28"/>
          <w:szCs w:val="28"/>
        </w:rPr>
        <w:t xml:space="preserve"> здоровому </w:t>
      </w:r>
      <w:r w:rsidR="007B04DE">
        <w:rPr>
          <w:sz w:val="28"/>
          <w:szCs w:val="28"/>
          <w:lang w:val="uk-UA"/>
        </w:rPr>
        <w:t>способі</w:t>
      </w:r>
      <w:r w:rsidR="009B3642">
        <w:rPr>
          <w:sz w:val="28"/>
          <w:szCs w:val="28"/>
        </w:rPr>
        <w:t xml:space="preserve"> жи</w:t>
      </w:r>
      <w:r w:rsidR="009B3642">
        <w:rPr>
          <w:sz w:val="28"/>
          <w:szCs w:val="28"/>
          <w:lang w:val="uk-UA"/>
        </w:rPr>
        <w:t>тт</w:t>
      </w:r>
      <w:r w:rsidRPr="00811C57">
        <w:rPr>
          <w:sz w:val="28"/>
          <w:szCs w:val="28"/>
        </w:rPr>
        <w:t>я, вони генетично запрогр</w:t>
      </w:r>
      <w:r w:rsidRPr="00811C57">
        <w:rPr>
          <w:sz w:val="28"/>
          <w:szCs w:val="28"/>
        </w:rPr>
        <w:t>а</w:t>
      </w:r>
      <w:r w:rsidRPr="00811C57">
        <w:rPr>
          <w:sz w:val="28"/>
          <w:szCs w:val="28"/>
        </w:rPr>
        <w:t>мовані до певного віку на догляд за ними з боку батьків. Тому формування мотивації до проведення гігієнічних заходів по догляду за порожниною рота потребує багато уваги, терпіння та повинн</w:t>
      </w:r>
      <w:r w:rsidR="00304FBD">
        <w:rPr>
          <w:sz w:val="28"/>
          <w:szCs w:val="28"/>
          <w:lang w:val="uk-UA"/>
        </w:rPr>
        <w:t>о</w:t>
      </w:r>
      <w:r w:rsidRPr="00811C57">
        <w:rPr>
          <w:sz w:val="28"/>
          <w:szCs w:val="28"/>
        </w:rPr>
        <w:t xml:space="preserve"> здійснюватися спільними зуси</w:t>
      </w:r>
      <w:r w:rsidRPr="00811C57">
        <w:rPr>
          <w:sz w:val="28"/>
          <w:szCs w:val="28"/>
        </w:rPr>
        <w:t>л</w:t>
      </w:r>
      <w:r w:rsidRPr="00811C57">
        <w:rPr>
          <w:sz w:val="28"/>
          <w:szCs w:val="28"/>
        </w:rPr>
        <w:t>лями стоматолога та батьків.</w:t>
      </w:r>
    </w:p>
    <w:p w:rsidR="00811C57" w:rsidRPr="00811C57" w:rsidRDefault="00811C57" w:rsidP="00DB00DB">
      <w:pPr>
        <w:pStyle w:val="161"/>
        <w:spacing w:line="360" w:lineRule="auto"/>
        <w:ind w:firstLine="708"/>
        <w:jc w:val="both"/>
        <w:rPr>
          <w:sz w:val="28"/>
          <w:szCs w:val="28"/>
        </w:rPr>
      </w:pPr>
      <w:r w:rsidRPr="00811C57">
        <w:rPr>
          <w:sz w:val="28"/>
          <w:szCs w:val="28"/>
        </w:rPr>
        <w:t xml:space="preserve">Стан гігієни порожнини рота </w:t>
      </w:r>
      <w:r w:rsidR="007B04DE">
        <w:rPr>
          <w:sz w:val="28"/>
          <w:szCs w:val="28"/>
          <w:lang w:val="uk-UA"/>
        </w:rPr>
        <w:t>в</w:t>
      </w:r>
      <w:r w:rsidRPr="00811C57">
        <w:rPr>
          <w:sz w:val="28"/>
          <w:szCs w:val="28"/>
        </w:rPr>
        <w:t xml:space="preserve"> дітей відіграє суттєву профілактичну роль у розвитку як стоматологічних, так</w:t>
      </w:r>
      <w:r w:rsidR="007B04DE">
        <w:rPr>
          <w:sz w:val="28"/>
          <w:szCs w:val="28"/>
        </w:rPr>
        <w:t xml:space="preserve"> і соматичних захворювань. Тому</w:t>
      </w:r>
      <w:r w:rsidRPr="00811C57">
        <w:rPr>
          <w:sz w:val="28"/>
          <w:szCs w:val="28"/>
        </w:rPr>
        <w:t xml:space="preserve"> індивідуальна профілактика та особиста гігієна порожнини рота є одним з ефективних методів попередження захворювань як твердих тканин зубів, так і слизової оболонки порожнини рота, визначаючи якість життя дитини.</w:t>
      </w:r>
    </w:p>
    <w:p w:rsidR="00811C57" w:rsidRDefault="00811C57" w:rsidP="00DB00DB">
      <w:pPr>
        <w:pStyle w:val="161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11C57">
        <w:rPr>
          <w:sz w:val="28"/>
          <w:szCs w:val="28"/>
        </w:rPr>
        <w:t>Аналізуючи дані анкетування, проведеного у 126 дітей з різними ст</w:t>
      </w:r>
      <w:r w:rsidRPr="00811C57">
        <w:rPr>
          <w:sz w:val="28"/>
          <w:szCs w:val="28"/>
        </w:rPr>
        <w:t>о</w:t>
      </w:r>
      <w:r w:rsidRPr="00811C57">
        <w:rPr>
          <w:sz w:val="28"/>
          <w:szCs w:val="28"/>
        </w:rPr>
        <w:t xml:space="preserve">матологічними захворюваннями на </w:t>
      </w:r>
      <w:r w:rsidR="007B04DE">
        <w:rPr>
          <w:sz w:val="28"/>
          <w:szCs w:val="28"/>
          <w:lang w:val="uk-UA"/>
        </w:rPr>
        <w:t>тлі</w:t>
      </w:r>
      <w:r w:rsidRPr="00811C57">
        <w:rPr>
          <w:sz w:val="28"/>
          <w:szCs w:val="28"/>
        </w:rPr>
        <w:t xml:space="preserve"> гострого лімфобластного лейкоз</w:t>
      </w:r>
      <w:r w:rsidR="007B04DE">
        <w:rPr>
          <w:sz w:val="28"/>
          <w:szCs w:val="28"/>
          <w:lang w:val="uk-UA"/>
        </w:rPr>
        <w:t>у</w:t>
      </w:r>
      <w:r w:rsidRPr="00811C57">
        <w:rPr>
          <w:sz w:val="28"/>
          <w:szCs w:val="28"/>
        </w:rPr>
        <w:t>, б</w:t>
      </w:r>
      <w:r w:rsidRPr="00811C57">
        <w:rPr>
          <w:sz w:val="28"/>
          <w:szCs w:val="28"/>
        </w:rPr>
        <w:t>у</w:t>
      </w:r>
      <w:r w:rsidRPr="00811C57">
        <w:rPr>
          <w:sz w:val="28"/>
          <w:szCs w:val="28"/>
        </w:rPr>
        <w:t>л</w:t>
      </w:r>
      <w:r w:rsidR="007B04DE">
        <w:rPr>
          <w:sz w:val="28"/>
          <w:szCs w:val="28"/>
          <w:lang w:val="uk-UA"/>
        </w:rPr>
        <w:t>о</w:t>
      </w:r>
      <w:r w:rsidRPr="00811C57">
        <w:rPr>
          <w:sz w:val="28"/>
          <w:szCs w:val="28"/>
        </w:rPr>
        <w:t xml:space="preserve"> з’ясован</w:t>
      </w:r>
      <w:r w:rsidR="007B04DE">
        <w:rPr>
          <w:sz w:val="28"/>
          <w:szCs w:val="28"/>
          <w:lang w:val="uk-UA"/>
        </w:rPr>
        <w:t>о</w:t>
      </w:r>
      <w:r w:rsidRPr="00811C57">
        <w:rPr>
          <w:sz w:val="28"/>
          <w:szCs w:val="28"/>
        </w:rPr>
        <w:t xml:space="preserve"> кратність чистки зубів, проводи</w:t>
      </w:r>
      <w:r w:rsidR="009027B2">
        <w:rPr>
          <w:sz w:val="28"/>
          <w:szCs w:val="28"/>
          <w:lang w:val="uk-UA"/>
        </w:rPr>
        <w:t>ло</w:t>
      </w:r>
      <w:r w:rsidRPr="00811C57">
        <w:rPr>
          <w:sz w:val="28"/>
          <w:szCs w:val="28"/>
        </w:rPr>
        <w:t>ся о</w:t>
      </w:r>
      <w:r w:rsidR="009027B2">
        <w:rPr>
          <w:sz w:val="28"/>
          <w:szCs w:val="28"/>
          <w:lang w:val="uk-UA"/>
        </w:rPr>
        <w:t>питування</w:t>
      </w:r>
      <w:r w:rsidRPr="00811C57">
        <w:rPr>
          <w:sz w:val="28"/>
          <w:szCs w:val="28"/>
        </w:rPr>
        <w:t xml:space="preserve"> у відношенні індивідуальних засобів гігієни, регулярносі та правильності чи</w:t>
      </w:r>
      <w:r w:rsidR="007B04DE">
        <w:rPr>
          <w:sz w:val="28"/>
          <w:szCs w:val="28"/>
          <w:lang w:val="uk-UA"/>
        </w:rPr>
        <w:t>щення</w:t>
      </w:r>
      <w:r w:rsidRPr="00811C57">
        <w:rPr>
          <w:sz w:val="28"/>
          <w:szCs w:val="28"/>
        </w:rPr>
        <w:t xml:space="preserve"> зубів. Результати </w:t>
      </w:r>
      <w:r w:rsidR="009027B2">
        <w:rPr>
          <w:sz w:val="28"/>
          <w:szCs w:val="28"/>
          <w:lang w:val="uk-UA"/>
        </w:rPr>
        <w:t>опитування</w:t>
      </w:r>
      <w:r w:rsidRPr="00811C57">
        <w:rPr>
          <w:sz w:val="28"/>
          <w:szCs w:val="28"/>
        </w:rPr>
        <w:t xml:space="preserve"> свідчать про недостатню інформованість дітей та їхніх батьків відносно навичок догляду за порожниною рота та низький рівень гігієнічного виховання.</w:t>
      </w:r>
    </w:p>
    <w:p w:rsidR="009027B2" w:rsidRPr="00B16901" w:rsidRDefault="00B16901" w:rsidP="00B16901">
      <w:pPr>
        <w:pStyle w:val="161"/>
        <w:shd w:val="clear" w:color="auto" w:fill="auto"/>
        <w:spacing w:line="360" w:lineRule="auto"/>
        <w:ind w:left="20" w:right="40" w:firstLine="720"/>
        <w:jc w:val="both"/>
        <w:rPr>
          <w:sz w:val="28"/>
          <w:szCs w:val="28"/>
          <w:lang w:val="uk-UA"/>
        </w:rPr>
      </w:pPr>
      <w:r w:rsidRPr="00E762E1">
        <w:rPr>
          <w:sz w:val="28"/>
          <w:szCs w:val="28"/>
        </w:rPr>
        <w:t xml:space="preserve">Гігієнічна інформованість дітей обстежених груп та їхніх батьків </w:t>
      </w:r>
      <w:r>
        <w:rPr>
          <w:sz w:val="28"/>
          <w:szCs w:val="28"/>
          <w:lang w:val="uk-UA"/>
        </w:rPr>
        <w:t>з</w:t>
      </w:r>
      <w:r w:rsidRPr="00E762E1">
        <w:rPr>
          <w:sz w:val="28"/>
          <w:szCs w:val="28"/>
        </w:rPr>
        <w:t xml:space="preserve"> навичка</w:t>
      </w:r>
      <w:r>
        <w:rPr>
          <w:sz w:val="28"/>
          <w:szCs w:val="28"/>
          <w:lang w:val="uk-UA"/>
        </w:rPr>
        <w:t>ми</w:t>
      </w:r>
      <w:r w:rsidRPr="00E762E1">
        <w:rPr>
          <w:sz w:val="28"/>
          <w:szCs w:val="28"/>
        </w:rPr>
        <w:t xml:space="preserve"> догляду за порожниною рота виявилася на недостатньому рівні (табл. 3.3). Менш</w:t>
      </w:r>
      <w:r>
        <w:rPr>
          <w:sz w:val="28"/>
          <w:szCs w:val="28"/>
          <w:lang w:val="uk-UA"/>
        </w:rPr>
        <w:t xml:space="preserve">, ніж </w:t>
      </w:r>
      <w:r w:rsidRPr="00E762E1">
        <w:rPr>
          <w:sz w:val="28"/>
          <w:szCs w:val="28"/>
        </w:rPr>
        <w:t xml:space="preserve">50% дітей 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сіх вікових груп</w:t>
      </w:r>
      <w:r w:rsidRPr="00E762E1">
        <w:rPr>
          <w:sz w:val="28"/>
          <w:szCs w:val="28"/>
        </w:rPr>
        <w:t xml:space="preserve"> мали адекватні навички гігієни порожнини рота та чистили зуби 2 рази на день – вранці та ввечері. За результатами </w:t>
      </w:r>
      <w:r>
        <w:rPr>
          <w:sz w:val="28"/>
          <w:szCs w:val="28"/>
          <w:lang w:val="uk-UA"/>
        </w:rPr>
        <w:t>опитування</w:t>
      </w:r>
      <w:r w:rsidRPr="00E762E1">
        <w:rPr>
          <w:sz w:val="28"/>
          <w:szCs w:val="28"/>
        </w:rPr>
        <w:t xml:space="preserve"> та перевірки практичних навичок лише 28 дітей чистили зуби 1 раз на день у перший гострий період ГЛЛ, 14 дітей – у стадії </w:t>
      </w:r>
      <w:r w:rsidRPr="00E762E1">
        <w:rPr>
          <w:sz w:val="28"/>
          <w:szCs w:val="28"/>
        </w:rPr>
        <w:lastRenderedPageBreak/>
        <w:t>ремісії та 8 – під час рецидиву хвороби. Великий відсоток дітей проводили гігієну порож</w:t>
      </w:r>
      <w:r>
        <w:rPr>
          <w:sz w:val="28"/>
          <w:szCs w:val="28"/>
        </w:rPr>
        <w:t>нини рота нерегулярно (не кож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н</w:t>
      </w:r>
      <w:r w:rsidRPr="00E762E1">
        <w:rPr>
          <w:sz w:val="28"/>
          <w:szCs w:val="28"/>
        </w:rPr>
        <w:t xml:space="preserve"> день). Взагалі не мали зубної щітки 15 (</w:t>
      </w:r>
      <w:r>
        <w:rPr>
          <w:sz w:val="28"/>
          <w:szCs w:val="28"/>
        </w:rPr>
        <w:t>11,9%) дітей, в основному молод</w:t>
      </w:r>
      <w:r w:rsidRPr="00E762E1">
        <w:rPr>
          <w:sz w:val="28"/>
          <w:szCs w:val="28"/>
        </w:rPr>
        <w:t>шо</w:t>
      </w:r>
      <w:r>
        <w:rPr>
          <w:sz w:val="28"/>
          <w:szCs w:val="28"/>
          <w:lang w:val="uk-UA"/>
        </w:rPr>
        <w:t>го</w:t>
      </w:r>
      <w:r w:rsidRPr="00E762E1">
        <w:rPr>
          <w:sz w:val="28"/>
          <w:szCs w:val="28"/>
        </w:rPr>
        <w:t xml:space="preserve"> дошкільного віку (2-5 років), у них відсутні елементарні знання та навички по догляду за порожни</w:t>
      </w:r>
      <w:r>
        <w:rPr>
          <w:sz w:val="28"/>
          <w:szCs w:val="28"/>
          <w:lang w:val="uk-UA"/>
        </w:rPr>
        <w:t xml:space="preserve">- </w:t>
      </w:r>
      <w:r w:rsidRPr="00E762E1">
        <w:rPr>
          <w:sz w:val="28"/>
          <w:szCs w:val="28"/>
        </w:rPr>
        <w:t>ною рота.</w:t>
      </w:r>
    </w:p>
    <w:p w:rsidR="00811C57" w:rsidRPr="00811C57" w:rsidRDefault="00811C57" w:rsidP="00811C57">
      <w:pPr>
        <w:pStyle w:val="ad"/>
        <w:jc w:val="right"/>
        <w:rPr>
          <w:i/>
          <w:lang w:val="ru-RU"/>
        </w:rPr>
      </w:pPr>
      <w:r w:rsidRPr="00811C57">
        <w:rPr>
          <w:i/>
          <w:lang w:val="ru-RU"/>
        </w:rPr>
        <w:t>Таблиця 3.3.</w:t>
      </w:r>
    </w:p>
    <w:p w:rsidR="00811C57" w:rsidRPr="00AB0D8F" w:rsidRDefault="00811C57" w:rsidP="00811C57">
      <w:pPr>
        <w:pStyle w:val="ad"/>
        <w:jc w:val="center"/>
        <w:rPr>
          <w:lang w:val="ru-RU"/>
        </w:rPr>
      </w:pPr>
      <w:r w:rsidRPr="00AB0D8F">
        <w:rPr>
          <w:lang w:val="ru-RU"/>
        </w:rPr>
        <w:t>Регулярність та кратність проведення індивідуальної гігієни порожн</w:t>
      </w:r>
      <w:r w:rsidRPr="00AB0D8F">
        <w:rPr>
          <w:lang w:val="ru-RU"/>
        </w:rPr>
        <w:t>и</w:t>
      </w:r>
      <w:r w:rsidRPr="00AB0D8F">
        <w:rPr>
          <w:lang w:val="ru-RU"/>
        </w:rPr>
        <w:t xml:space="preserve">ни рота </w:t>
      </w:r>
      <w:r w:rsidR="007B04DE" w:rsidRPr="00AB0D8F">
        <w:rPr>
          <w:lang w:val="ru-RU"/>
        </w:rPr>
        <w:t>в</w:t>
      </w:r>
      <w:r w:rsidRPr="00AB0D8F">
        <w:rPr>
          <w:lang w:val="ru-RU"/>
        </w:rPr>
        <w:t xml:space="preserve"> дітей, що були обстежені (% осіб)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65"/>
        <w:gridCol w:w="1775"/>
        <w:gridCol w:w="1768"/>
        <w:gridCol w:w="1760"/>
      </w:tblGrid>
      <w:tr w:rsidR="00DB00DB" w:rsidRPr="00966737" w:rsidTr="003D13E5">
        <w:trPr>
          <w:trHeight w:val="1114"/>
        </w:trPr>
        <w:tc>
          <w:tcPr>
            <w:tcW w:w="2127" w:type="dxa"/>
            <w:vAlign w:val="center"/>
          </w:tcPr>
          <w:p w:rsidR="00DB00DB" w:rsidRPr="00966737" w:rsidRDefault="00811C57" w:rsidP="00811C57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Період кліні</w:t>
            </w:r>
            <w:r>
              <w:rPr>
                <w:lang w:val="ru-RU"/>
              </w:rPr>
              <w:t>ч</w:t>
            </w:r>
            <w:r>
              <w:rPr>
                <w:lang w:val="ru-RU"/>
              </w:rPr>
              <w:t>ного перебігу ГЛЛ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811C57" w:rsidP="00E762E1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Вікові</w:t>
            </w:r>
            <w:r w:rsidR="00E762E1">
              <w:rPr>
                <w:lang w:val="ru-RU"/>
              </w:rPr>
              <w:br/>
            </w:r>
            <w:r>
              <w:rPr>
                <w:lang w:val="ru-RU"/>
              </w:rPr>
              <w:t>групи дітей, роки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E762E1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 раз</w:t>
            </w:r>
            <w:r w:rsidR="00E762E1">
              <w:rPr>
                <w:lang w:val="ru-RU"/>
              </w:rPr>
              <w:t>и на</w:t>
            </w:r>
            <w:r w:rsidRPr="00966737">
              <w:rPr>
                <w:lang w:val="ru-RU"/>
              </w:rPr>
              <w:t xml:space="preserve"> день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E762E1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 xml:space="preserve">1 раз </w:t>
            </w:r>
            <w:r w:rsidR="00E762E1">
              <w:rPr>
                <w:lang w:val="ru-RU"/>
              </w:rPr>
              <w:t>на</w:t>
            </w:r>
            <w:r w:rsidRPr="00966737">
              <w:rPr>
                <w:lang w:val="ru-RU"/>
              </w:rPr>
              <w:t xml:space="preserve"> день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E762E1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Не</w:t>
            </w:r>
            <w:r w:rsidR="00E762E1">
              <w:rPr>
                <w:lang w:val="ru-RU"/>
              </w:rPr>
              <w:t>регу</w:t>
            </w:r>
            <w:r w:rsidRPr="00966737">
              <w:rPr>
                <w:lang w:val="ru-RU"/>
              </w:rPr>
              <w:t>лярно</w:t>
            </w:r>
          </w:p>
        </w:tc>
      </w:tr>
      <w:tr w:rsidR="00DB00DB" w:rsidRPr="00966737" w:rsidTr="003D13E5">
        <w:trPr>
          <w:trHeight w:val="408"/>
        </w:trPr>
        <w:tc>
          <w:tcPr>
            <w:tcW w:w="2127" w:type="dxa"/>
            <w:vMerge w:val="restart"/>
            <w:vAlign w:val="center"/>
          </w:tcPr>
          <w:p w:rsidR="00DB00DB" w:rsidRPr="00966737" w:rsidRDefault="00E762E1" w:rsidP="00E762E1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Перший</w:t>
            </w:r>
            <w:r>
              <w:rPr>
                <w:lang w:val="ru-RU"/>
              </w:rPr>
              <w:br/>
              <w:t>гострий</w:t>
            </w:r>
            <w:r>
              <w:rPr>
                <w:lang w:val="ru-RU"/>
              </w:rPr>
              <w:br/>
              <w:t>період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2-5 (n=21)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-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70,0</w:t>
            </w:r>
          </w:p>
        </w:tc>
      </w:tr>
      <w:tr w:rsidR="00DB00DB" w:rsidRPr="00966737" w:rsidTr="003D13E5">
        <w:trPr>
          <w:trHeight w:val="427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6-8 (n=9)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11,1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44,4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44,5</w:t>
            </w:r>
          </w:p>
        </w:tc>
      </w:tr>
      <w:tr w:rsidR="00DB00DB" w:rsidRPr="00966737" w:rsidTr="003D13E5">
        <w:trPr>
          <w:trHeight w:val="405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9-11 (n=7)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42,9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28,5</w:t>
            </w:r>
          </w:p>
        </w:tc>
      </w:tr>
      <w:tr w:rsidR="00DB00DB" w:rsidRPr="00966737" w:rsidTr="003D13E5">
        <w:trPr>
          <w:trHeight w:val="425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12-14 (n=16)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43,8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12,4</w:t>
            </w:r>
          </w:p>
        </w:tc>
      </w:tr>
      <w:tr w:rsidR="00DB00DB" w:rsidRPr="00966737" w:rsidTr="003D13E5">
        <w:trPr>
          <w:trHeight w:val="418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15-18 (n=18)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44,5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11,0</w:t>
            </w:r>
          </w:p>
        </w:tc>
      </w:tr>
      <w:tr w:rsidR="00DB00DB" w:rsidRPr="00966737" w:rsidTr="003D13E5">
        <w:trPr>
          <w:trHeight w:val="410"/>
        </w:trPr>
        <w:tc>
          <w:tcPr>
            <w:tcW w:w="2127" w:type="dxa"/>
            <w:vMerge w:val="restart"/>
            <w:vAlign w:val="center"/>
          </w:tcPr>
          <w:p w:rsidR="00DB00DB" w:rsidRPr="00966737" w:rsidRDefault="00E762E1" w:rsidP="00E762E1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Стадія</w:t>
            </w:r>
            <w:r>
              <w:rPr>
                <w:lang w:val="ru-RU"/>
              </w:rPr>
              <w:br/>
              <w:t>ремісії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2-5 (n=8)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12,5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37,5</w:t>
            </w:r>
          </w:p>
        </w:tc>
      </w:tr>
      <w:tr w:rsidR="00DB00DB" w:rsidRPr="00966737" w:rsidTr="003D13E5">
        <w:trPr>
          <w:trHeight w:val="415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6-8 (n=5)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20,0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60,0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20,0</w:t>
            </w:r>
          </w:p>
        </w:tc>
      </w:tr>
      <w:tr w:rsidR="00DB00DB" w:rsidRPr="00966737" w:rsidTr="003D13E5">
        <w:trPr>
          <w:trHeight w:val="421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9-11 (n=4)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25,0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25,0</w:t>
            </w:r>
          </w:p>
        </w:tc>
      </w:tr>
      <w:tr w:rsidR="00DB00DB" w:rsidRPr="00966737" w:rsidTr="003D13E5">
        <w:trPr>
          <w:trHeight w:val="413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12-14 (n=5)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40,0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20,0</w:t>
            </w:r>
          </w:p>
        </w:tc>
      </w:tr>
      <w:tr w:rsidR="00DB00DB" w:rsidRPr="00966737" w:rsidTr="003D13E5">
        <w:trPr>
          <w:trHeight w:val="420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15-18 (n=9)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55,6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33,3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11,1</w:t>
            </w:r>
          </w:p>
        </w:tc>
      </w:tr>
      <w:tr w:rsidR="00DB00DB" w:rsidRPr="00966737" w:rsidTr="003D13E5">
        <w:trPr>
          <w:trHeight w:val="411"/>
        </w:trPr>
        <w:tc>
          <w:tcPr>
            <w:tcW w:w="2127" w:type="dxa"/>
            <w:vMerge w:val="restart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Рецидив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2-5 (n=6)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-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16,7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83,3</w:t>
            </w:r>
          </w:p>
        </w:tc>
      </w:tr>
      <w:tr w:rsidR="00DB00DB" w:rsidRPr="00966737" w:rsidTr="003D13E5">
        <w:trPr>
          <w:trHeight w:val="417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6-8 (n=5)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20,0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40,0</w:t>
            </w:r>
          </w:p>
        </w:tc>
      </w:tr>
      <w:tr w:rsidR="00DB00DB" w:rsidRPr="00966737" w:rsidTr="003D13E5">
        <w:trPr>
          <w:trHeight w:val="410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9-11 (n=3)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33,3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33,4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33,3</w:t>
            </w:r>
          </w:p>
        </w:tc>
      </w:tr>
      <w:tr w:rsidR="00DB00DB" w:rsidRPr="00966737" w:rsidTr="003D13E5">
        <w:trPr>
          <w:trHeight w:val="415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12-14 (n=5)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40,0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20,0</w:t>
            </w:r>
          </w:p>
        </w:tc>
      </w:tr>
      <w:tr w:rsidR="00DB00DB" w:rsidRPr="00966737" w:rsidTr="003D13E5">
        <w:trPr>
          <w:trHeight w:val="407"/>
        </w:trPr>
        <w:tc>
          <w:tcPr>
            <w:tcW w:w="2127" w:type="dxa"/>
            <w:vMerge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15-18 (n=5)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40,0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40,0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DB" w:rsidRPr="00966737" w:rsidRDefault="00DB00DB" w:rsidP="003D13E5">
            <w:pPr>
              <w:pStyle w:val="ad"/>
              <w:spacing w:line="240" w:lineRule="auto"/>
              <w:ind w:firstLine="0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20,0</w:t>
            </w:r>
          </w:p>
        </w:tc>
      </w:tr>
    </w:tbl>
    <w:p w:rsidR="003D13E5" w:rsidRDefault="003D13E5" w:rsidP="00DB00DB">
      <w:pPr>
        <w:pStyle w:val="161"/>
        <w:shd w:val="clear" w:color="auto" w:fill="auto"/>
        <w:spacing w:line="360" w:lineRule="auto"/>
        <w:ind w:left="20" w:right="40" w:firstLine="720"/>
        <w:jc w:val="both"/>
        <w:rPr>
          <w:sz w:val="28"/>
          <w:szCs w:val="28"/>
          <w:lang w:val="uk-UA"/>
        </w:rPr>
      </w:pPr>
    </w:p>
    <w:p w:rsidR="00B16901" w:rsidRPr="00B16901" w:rsidRDefault="00B16901" w:rsidP="00DB00DB">
      <w:pPr>
        <w:pStyle w:val="161"/>
        <w:shd w:val="clear" w:color="auto" w:fill="auto"/>
        <w:spacing w:line="360" w:lineRule="auto"/>
        <w:ind w:left="20" w:right="40" w:firstLine="720"/>
        <w:jc w:val="both"/>
        <w:rPr>
          <w:sz w:val="28"/>
          <w:szCs w:val="28"/>
          <w:lang w:val="uk-UA"/>
        </w:rPr>
      </w:pPr>
    </w:p>
    <w:p w:rsidR="00E762E1" w:rsidRDefault="009027B2" w:rsidP="00DB00DB">
      <w:pPr>
        <w:pStyle w:val="161"/>
        <w:shd w:val="clear" w:color="auto" w:fill="auto"/>
        <w:spacing w:line="360" w:lineRule="auto"/>
        <w:ind w:left="20" w:right="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Аналізуючи дані таблиці 3.3,</w:t>
      </w:r>
      <w:r w:rsidR="00E762E1" w:rsidRPr="00E762E1">
        <w:rPr>
          <w:sz w:val="28"/>
          <w:szCs w:val="28"/>
          <w:lang w:val="uk-UA"/>
        </w:rPr>
        <w:t xml:space="preserve"> спостерігається тенденція зростання чи</w:t>
      </w:r>
      <w:r w:rsidR="00E762E1" w:rsidRPr="00E762E1">
        <w:rPr>
          <w:sz w:val="28"/>
          <w:szCs w:val="28"/>
          <w:lang w:val="uk-UA"/>
        </w:rPr>
        <w:t>с</w:t>
      </w:r>
      <w:r w:rsidR="00E762E1" w:rsidRPr="00E762E1">
        <w:rPr>
          <w:sz w:val="28"/>
          <w:szCs w:val="28"/>
          <w:lang w:val="uk-UA"/>
        </w:rPr>
        <w:t>ла дітей, які регулярно чистять зуби (2 рази на день: вранці та ввечері) з ї</w:t>
      </w:r>
      <w:r w:rsidR="00E762E1" w:rsidRPr="00E762E1">
        <w:rPr>
          <w:sz w:val="28"/>
          <w:szCs w:val="28"/>
          <w:lang w:val="uk-UA"/>
        </w:rPr>
        <w:t>х</w:t>
      </w:r>
      <w:r w:rsidR="00E762E1" w:rsidRPr="00E762E1">
        <w:rPr>
          <w:sz w:val="28"/>
          <w:szCs w:val="28"/>
          <w:lang w:val="uk-UA"/>
        </w:rPr>
        <w:t>нім віком, так, у групах дітей 15-18 років визначені найвищі показники рег</w:t>
      </w:r>
      <w:r w:rsidR="00E762E1" w:rsidRPr="00E762E1">
        <w:rPr>
          <w:sz w:val="28"/>
          <w:szCs w:val="28"/>
          <w:lang w:val="uk-UA"/>
        </w:rPr>
        <w:t>у</w:t>
      </w:r>
      <w:r w:rsidR="00E762E1" w:rsidRPr="00E762E1">
        <w:rPr>
          <w:sz w:val="28"/>
          <w:szCs w:val="28"/>
          <w:lang w:val="uk-UA"/>
        </w:rPr>
        <w:t>лярної гігієни порожнини рота. Також слід відзначити, що діти з ГЛЛ част</w:t>
      </w:r>
      <w:r w:rsidR="00E762E1" w:rsidRPr="00E762E1">
        <w:rPr>
          <w:sz w:val="28"/>
          <w:szCs w:val="28"/>
          <w:lang w:val="uk-UA"/>
        </w:rPr>
        <w:t>і</w:t>
      </w:r>
      <w:r w:rsidR="00E762E1" w:rsidRPr="00E762E1">
        <w:rPr>
          <w:sz w:val="28"/>
          <w:szCs w:val="28"/>
          <w:lang w:val="uk-UA"/>
        </w:rPr>
        <w:lastRenderedPageBreak/>
        <w:t>ше та якісніше чистять зуби у стадії ремісії основного захворювання та наб</w:t>
      </w:r>
      <w:r w:rsidR="00E762E1" w:rsidRPr="00E762E1">
        <w:rPr>
          <w:sz w:val="28"/>
          <w:szCs w:val="28"/>
          <w:lang w:val="uk-UA"/>
        </w:rPr>
        <w:t>а</w:t>
      </w:r>
      <w:r w:rsidR="00E762E1" w:rsidRPr="00E762E1">
        <w:rPr>
          <w:sz w:val="28"/>
          <w:szCs w:val="28"/>
          <w:lang w:val="uk-UA"/>
        </w:rPr>
        <w:t>гато рідше у гострий період або під час рецидиву. Це пов’язано з тим, що д</w:t>
      </w:r>
      <w:r w:rsidR="00E762E1" w:rsidRPr="00E762E1">
        <w:rPr>
          <w:sz w:val="28"/>
          <w:szCs w:val="28"/>
          <w:lang w:val="uk-UA"/>
        </w:rPr>
        <w:t>о</w:t>
      </w:r>
      <w:r w:rsidR="00E762E1" w:rsidRPr="00E762E1">
        <w:rPr>
          <w:sz w:val="28"/>
          <w:szCs w:val="28"/>
          <w:lang w:val="uk-UA"/>
        </w:rPr>
        <w:t xml:space="preserve">гляд за порожниною рота </w:t>
      </w:r>
      <w:r w:rsidR="00C53BBB">
        <w:rPr>
          <w:sz w:val="28"/>
          <w:szCs w:val="28"/>
          <w:lang w:val="uk-UA"/>
        </w:rPr>
        <w:t>в</w:t>
      </w:r>
      <w:r w:rsidR="00E762E1" w:rsidRPr="00E762E1">
        <w:rPr>
          <w:sz w:val="28"/>
          <w:szCs w:val="28"/>
          <w:lang w:val="uk-UA"/>
        </w:rPr>
        <w:t xml:space="preserve"> хворих </w:t>
      </w:r>
      <w:r w:rsidR="00C53BBB">
        <w:rPr>
          <w:sz w:val="28"/>
          <w:szCs w:val="28"/>
          <w:lang w:val="uk-UA"/>
        </w:rPr>
        <w:t>на</w:t>
      </w:r>
      <w:r w:rsidR="00E762E1" w:rsidRPr="00E762E1">
        <w:rPr>
          <w:sz w:val="28"/>
          <w:szCs w:val="28"/>
          <w:lang w:val="uk-UA"/>
        </w:rPr>
        <w:t xml:space="preserve"> гостри</w:t>
      </w:r>
      <w:r w:rsidR="00C53BBB">
        <w:rPr>
          <w:sz w:val="28"/>
          <w:szCs w:val="28"/>
          <w:lang w:val="uk-UA"/>
        </w:rPr>
        <w:t>й</w:t>
      </w:r>
      <w:r w:rsidR="00E762E1" w:rsidRPr="00E762E1">
        <w:rPr>
          <w:sz w:val="28"/>
          <w:szCs w:val="28"/>
          <w:lang w:val="uk-UA"/>
        </w:rPr>
        <w:t xml:space="preserve"> лімфобластни</w:t>
      </w:r>
      <w:r w:rsidR="00C53BBB">
        <w:rPr>
          <w:sz w:val="28"/>
          <w:szCs w:val="28"/>
          <w:lang w:val="uk-UA"/>
        </w:rPr>
        <w:t>й</w:t>
      </w:r>
      <w:r w:rsidR="00E762E1" w:rsidRPr="00E762E1">
        <w:rPr>
          <w:sz w:val="28"/>
          <w:szCs w:val="28"/>
          <w:lang w:val="uk-UA"/>
        </w:rPr>
        <w:t xml:space="preserve"> лейкоз часто ускладнений </w:t>
      </w:r>
      <w:r w:rsidR="00C53BBB">
        <w:rPr>
          <w:sz w:val="28"/>
          <w:szCs w:val="28"/>
          <w:lang w:val="uk-UA"/>
        </w:rPr>
        <w:t>у</w:t>
      </w:r>
      <w:r w:rsidR="00E762E1" w:rsidRPr="00E762E1">
        <w:rPr>
          <w:sz w:val="28"/>
          <w:szCs w:val="28"/>
          <w:lang w:val="uk-UA"/>
        </w:rPr>
        <w:t xml:space="preserve"> результаті важкого загального стану пацієнтів та через бол</w:t>
      </w:r>
      <w:r w:rsidR="00E762E1" w:rsidRPr="00E762E1">
        <w:rPr>
          <w:sz w:val="28"/>
          <w:szCs w:val="28"/>
          <w:lang w:val="uk-UA"/>
        </w:rPr>
        <w:t>ю</w:t>
      </w:r>
      <w:r w:rsidR="00E762E1" w:rsidRPr="00E762E1">
        <w:rPr>
          <w:sz w:val="28"/>
          <w:szCs w:val="28"/>
          <w:lang w:val="uk-UA"/>
        </w:rPr>
        <w:t xml:space="preserve">чі відчуття </w:t>
      </w:r>
      <w:r w:rsidR="00C53BBB">
        <w:rPr>
          <w:sz w:val="28"/>
          <w:szCs w:val="28"/>
          <w:lang w:val="uk-UA"/>
        </w:rPr>
        <w:t>в</w:t>
      </w:r>
      <w:r w:rsidR="00E762E1" w:rsidRPr="00E762E1">
        <w:rPr>
          <w:sz w:val="28"/>
          <w:szCs w:val="28"/>
          <w:lang w:val="uk-UA"/>
        </w:rPr>
        <w:t xml:space="preserve"> порожнині рота при цьому захворюванні, які перешкоджають повноцінній індивідуальній гігієні.</w:t>
      </w:r>
    </w:p>
    <w:p w:rsidR="00E762E1" w:rsidRDefault="00E762E1" w:rsidP="00DB00DB">
      <w:pPr>
        <w:pStyle w:val="161"/>
        <w:shd w:val="clear" w:color="auto" w:fill="auto"/>
        <w:spacing w:line="360" w:lineRule="auto"/>
        <w:ind w:left="20" w:right="40" w:firstLine="720"/>
        <w:jc w:val="both"/>
        <w:rPr>
          <w:sz w:val="28"/>
          <w:szCs w:val="28"/>
          <w:lang w:val="uk-UA"/>
        </w:rPr>
      </w:pPr>
      <w:r w:rsidRPr="00E762E1">
        <w:rPr>
          <w:sz w:val="28"/>
          <w:szCs w:val="28"/>
        </w:rPr>
        <w:t>При аналізі гігієнічного стану порожнини рота звертали увагу на х</w:t>
      </w:r>
      <w:r w:rsidRPr="00E762E1">
        <w:rPr>
          <w:sz w:val="28"/>
          <w:szCs w:val="28"/>
        </w:rPr>
        <w:t>а</w:t>
      </w:r>
      <w:r w:rsidRPr="00E762E1">
        <w:rPr>
          <w:sz w:val="28"/>
          <w:szCs w:val="28"/>
        </w:rPr>
        <w:t>рактер нальоту на зубах. Крім м’яких назубних відкладень</w:t>
      </w:r>
      <w:r w:rsidR="00C53BBB">
        <w:rPr>
          <w:sz w:val="28"/>
          <w:szCs w:val="28"/>
          <w:lang w:val="uk-UA"/>
        </w:rPr>
        <w:t>,</w:t>
      </w:r>
      <w:r w:rsidRPr="00E762E1">
        <w:rPr>
          <w:sz w:val="28"/>
          <w:szCs w:val="28"/>
        </w:rPr>
        <w:t xml:space="preserve"> відмічали й тверді: зубний камінь та </w:t>
      </w:r>
      <w:r w:rsidR="00C53BBB">
        <w:rPr>
          <w:sz w:val="28"/>
          <w:szCs w:val="28"/>
          <w:lang w:val="uk-UA"/>
        </w:rPr>
        <w:t>щільний</w:t>
      </w:r>
      <w:r w:rsidRPr="00E762E1">
        <w:rPr>
          <w:sz w:val="28"/>
          <w:szCs w:val="28"/>
        </w:rPr>
        <w:t xml:space="preserve"> пігментований зубний наліт, що зустрічався </w:t>
      </w:r>
      <w:r w:rsidR="00C53BBB">
        <w:rPr>
          <w:sz w:val="28"/>
          <w:szCs w:val="28"/>
          <w:lang w:val="uk-UA"/>
        </w:rPr>
        <w:t>в</w:t>
      </w:r>
      <w:r w:rsidRPr="00E762E1">
        <w:rPr>
          <w:sz w:val="28"/>
          <w:szCs w:val="28"/>
        </w:rPr>
        <w:t xml:space="preserve"> </w:t>
      </w:r>
      <w:r w:rsidR="00C53BBB">
        <w:rPr>
          <w:sz w:val="28"/>
          <w:szCs w:val="28"/>
          <w:lang w:val="uk-UA"/>
        </w:rPr>
        <w:t>у</w:t>
      </w:r>
      <w:r w:rsidRPr="00E762E1">
        <w:rPr>
          <w:sz w:val="28"/>
          <w:szCs w:val="28"/>
        </w:rPr>
        <w:t>сіх досліджуваних групах дітей з ГЛЛ. Частіше за все він ро</w:t>
      </w:r>
      <w:r w:rsidRPr="00E762E1">
        <w:rPr>
          <w:sz w:val="28"/>
          <w:szCs w:val="28"/>
        </w:rPr>
        <w:t>з</w:t>
      </w:r>
      <w:r w:rsidRPr="00E762E1">
        <w:rPr>
          <w:sz w:val="28"/>
          <w:szCs w:val="28"/>
        </w:rPr>
        <w:t>міщувався на шийках зубів з вестибулярної та оральної поверхонь, однак спостерігалися випадки, коли щільн</w:t>
      </w:r>
      <w:r w:rsidR="003A2A1B">
        <w:rPr>
          <w:sz w:val="28"/>
          <w:szCs w:val="28"/>
          <w:lang w:val="uk-UA"/>
        </w:rPr>
        <w:t>а</w:t>
      </w:r>
      <w:r w:rsidRPr="00E762E1">
        <w:rPr>
          <w:sz w:val="28"/>
          <w:szCs w:val="28"/>
        </w:rPr>
        <w:t xml:space="preserve"> плівка нальоту повністю вкривала зубні поверхні. Слід відзначити, що наліт на зубах не був монохромним, відмічалася різниця </w:t>
      </w:r>
      <w:r w:rsidR="00C53BBB">
        <w:rPr>
          <w:sz w:val="28"/>
          <w:szCs w:val="28"/>
          <w:lang w:val="uk-UA"/>
        </w:rPr>
        <w:t>в</w:t>
      </w:r>
      <w:r w:rsidRPr="00E762E1">
        <w:rPr>
          <w:sz w:val="28"/>
          <w:szCs w:val="28"/>
        </w:rPr>
        <w:t xml:space="preserve"> кольорі від жовтого та коричневого – до сіро-чорного. Тверді назубні відкладення у вигляді зубного камен</w:t>
      </w:r>
      <w:r w:rsidR="00C53BBB">
        <w:rPr>
          <w:sz w:val="28"/>
          <w:szCs w:val="28"/>
          <w:lang w:val="uk-UA"/>
        </w:rPr>
        <w:t>я</w:t>
      </w:r>
      <w:r w:rsidRPr="00E762E1">
        <w:rPr>
          <w:sz w:val="28"/>
          <w:szCs w:val="28"/>
        </w:rPr>
        <w:t xml:space="preserve"> відзначені у дітей як у гострий період ГЛЛ, так і </w:t>
      </w:r>
      <w:r w:rsidR="00C53BBB">
        <w:rPr>
          <w:sz w:val="28"/>
          <w:szCs w:val="28"/>
          <w:lang w:val="uk-UA"/>
        </w:rPr>
        <w:t>в</w:t>
      </w:r>
      <w:r w:rsidRPr="00E762E1">
        <w:rPr>
          <w:sz w:val="28"/>
          <w:szCs w:val="28"/>
        </w:rPr>
        <w:t xml:space="preserve"> стадії ремісії. Отримані дані підтвердили озн</w:t>
      </w:r>
      <w:r w:rsidRPr="00E762E1">
        <w:rPr>
          <w:sz w:val="28"/>
          <w:szCs w:val="28"/>
        </w:rPr>
        <w:t>а</w:t>
      </w:r>
      <w:r w:rsidRPr="00E762E1">
        <w:rPr>
          <w:sz w:val="28"/>
          <w:szCs w:val="28"/>
        </w:rPr>
        <w:t xml:space="preserve">чену тенденцію, яка полягає у відсутності статистичної різниці </w:t>
      </w:r>
      <w:r w:rsidR="00C53BBB">
        <w:rPr>
          <w:sz w:val="28"/>
          <w:szCs w:val="28"/>
          <w:lang w:val="uk-UA"/>
        </w:rPr>
        <w:t>в</w:t>
      </w:r>
      <w:r w:rsidRPr="00E762E1">
        <w:rPr>
          <w:sz w:val="28"/>
          <w:szCs w:val="28"/>
        </w:rPr>
        <w:t xml:space="preserve"> гігієнічн</w:t>
      </w:r>
      <w:r w:rsidRPr="00E762E1">
        <w:rPr>
          <w:sz w:val="28"/>
          <w:szCs w:val="28"/>
        </w:rPr>
        <w:t>о</w:t>
      </w:r>
      <w:r w:rsidRPr="00E762E1">
        <w:rPr>
          <w:sz w:val="28"/>
          <w:szCs w:val="28"/>
        </w:rPr>
        <w:t>му стані порожнини рота між дітьми групи першого гострого періоду та р</w:t>
      </w:r>
      <w:r w:rsidRPr="00E762E1">
        <w:rPr>
          <w:sz w:val="28"/>
          <w:szCs w:val="28"/>
        </w:rPr>
        <w:t>е</w:t>
      </w:r>
      <w:r w:rsidRPr="00E762E1">
        <w:rPr>
          <w:sz w:val="28"/>
          <w:szCs w:val="28"/>
        </w:rPr>
        <w:t>цидив</w:t>
      </w:r>
      <w:r w:rsidR="00C53BBB">
        <w:rPr>
          <w:sz w:val="28"/>
          <w:szCs w:val="28"/>
          <w:lang w:val="uk-UA"/>
        </w:rPr>
        <w:t>у</w:t>
      </w:r>
      <w:r w:rsidRPr="00E762E1">
        <w:rPr>
          <w:sz w:val="28"/>
          <w:szCs w:val="28"/>
        </w:rPr>
        <w:t xml:space="preserve"> ГЛЛ, встановленої в результаті аналізу індексів гігієни порожнини рота – індекс</w:t>
      </w:r>
      <w:r w:rsidR="00C53BBB">
        <w:rPr>
          <w:sz w:val="28"/>
          <w:szCs w:val="28"/>
          <w:lang w:val="uk-UA"/>
        </w:rPr>
        <w:t>ів</w:t>
      </w:r>
      <w:r w:rsidRPr="00E762E1">
        <w:rPr>
          <w:sz w:val="28"/>
          <w:szCs w:val="28"/>
        </w:rPr>
        <w:t xml:space="preserve"> OHI-S та Silness-Loe. Достовірні відмінності даних індексів спостерігалися лише у групі дітей, які знаходилися </w:t>
      </w:r>
      <w:r w:rsidR="00C53BBB">
        <w:rPr>
          <w:sz w:val="28"/>
          <w:szCs w:val="28"/>
          <w:lang w:val="uk-UA"/>
        </w:rPr>
        <w:t>в</w:t>
      </w:r>
      <w:r w:rsidRPr="00E762E1">
        <w:rPr>
          <w:sz w:val="28"/>
          <w:szCs w:val="28"/>
        </w:rPr>
        <w:t xml:space="preserve"> стадії ремісії гострого лімфобластного лейкоз</w:t>
      </w:r>
      <w:r w:rsidR="003A2A1B">
        <w:rPr>
          <w:sz w:val="28"/>
          <w:szCs w:val="28"/>
          <w:lang w:val="uk-UA"/>
        </w:rPr>
        <w:t>у</w:t>
      </w:r>
      <w:r w:rsidRPr="00E762E1">
        <w:rPr>
          <w:sz w:val="28"/>
          <w:szCs w:val="28"/>
        </w:rPr>
        <w:t>.</w:t>
      </w:r>
    </w:p>
    <w:p w:rsidR="00E762E1" w:rsidRDefault="00E762E1" w:rsidP="00DB00DB">
      <w:pPr>
        <w:pStyle w:val="161"/>
        <w:shd w:val="clear" w:color="auto" w:fill="auto"/>
        <w:spacing w:line="360" w:lineRule="auto"/>
        <w:ind w:left="20" w:right="40" w:firstLine="720"/>
        <w:jc w:val="both"/>
        <w:rPr>
          <w:sz w:val="28"/>
          <w:szCs w:val="28"/>
          <w:lang w:val="uk-UA"/>
        </w:rPr>
      </w:pPr>
      <w:r w:rsidRPr="00E762E1">
        <w:rPr>
          <w:sz w:val="28"/>
          <w:szCs w:val="28"/>
        </w:rPr>
        <w:t>Рівень гігієни порожнини рота оцінювали за сукупністю індексів, вр</w:t>
      </w:r>
      <w:r w:rsidRPr="00E762E1">
        <w:rPr>
          <w:sz w:val="28"/>
          <w:szCs w:val="28"/>
        </w:rPr>
        <w:t>а</w:t>
      </w:r>
      <w:r w:rsidRPr="00E762E1">
        <w:rPr>
          <w:sz w:val="28"/>
          <w:szCs w:val="28"/>
        </w:rPr>
        <w:t>ховуючи високий бал. Оцінку результатів дослідження проводили згідно градаці</w:t>
      </w:r>
      <w:r w:rsidR="00C53BBB">
        <w:rPr>
          <w:sz w:val="28"/>
          <w:szCs w:val="28"/>
          <w:lang w:val="uk-UA"/>
        </w:rPr>
        <w:t>єю</w:t>
      </w:r>
      <w:r w:rsidRPr="00E762E1">
        <w:rPr>
          <w:sz w:val="28"/>
          <w:szCs w:val="28"/>
        </w:rPr>
        <w:t xml:space="preserve"> по ВОЗ: </w:t>
      </w:r>
      <w:r w:rsidR="000E02F0">
        <w:rPr>
          <w:sz w:val="28"/>
          <w:szCs w:val="28"/>
          <w:lang w:val="uk-UA"/>
        </w:rPr>
        <w:t>«</w:t>
      </w:r>
      <w:r w:rsidRPr="00E762E1">
        <w:rPr>
          <w:sz w:val="28"/>
          <w:szCs w:val="28"/>
        </w:rPr>
        <w:t>добра</w:t>
      </w:r>
      <w:r w:rsidR="000E02F0">
        <w:rPr>
          <w:sz w:val="28"/>
          <w:szCs w:val="28"/>
          <w:lang w:val="uk-UA"/>
        </w:rPr>
        <w:t>»</w:t>
      </w:r>
      <w:r w:rsidRPr="00E762E1">
        <w:rPr>
          <w:sz w:val="28"/>
          <w:szCs w:val="28"/>
        </w:rPr>
        <w:t xml:space="preserve">, </w:t>
      </w:r>
      <w:r w:rsidR="000E02F0">
        <w:rPr>
          <w:sz w:val="28"/>
          <w:szCs w:val="28"/>
          <w:lang w:val="uk-UA"/>
        </w:rPr>
        <w:t>«</w:t>
      </w:r>
      <w:r w:rsidRPr="00E762E1">
        <w:rPr>
          <w:sz w:val="28"/>
          <w:szCs w:val="28"/>
        </w:rPr>
        <w:t>задовільна</w:t>
      </w:r>
      <w:r w:rsidR="000E02F0">
        <w:rPr>
          <w:sz w:val="28"/>
          <w:szCs w:val="28"/>
          <w:lang w:val="uk-UA"/>
        </w:rPr>
        <w:t>»</w:t>
      </w:r>
      <w:r w:rsidR="000E02F0">
        <w:rPr>
          <w:sz w:val="28"/>
          <w:szCs w:val="28"/>
        </w:rPr>
        <w:t>, «</w:t>
      </w:r>
      <w:r w:rsidRPr="00E762E1">
        <w:rPr>
          <w:sz w:val="28"/>
          <w:szCs w:val="28"/>
        </w:rPr>
        <w:t>незадовільна</w:t>
      </w:r>
      <w:r w:rsidR="000E02F0">
        <w:rPr>
          <w:sz w:val="28"/>
          <w:szCs w:val="28"/>
          <w:lang w:val="uk-UA"/>
        </w:rPr>
        <w:t>»</w:t>
      </w:r>
      <w:r w:rsidRPr="00E762E1">
        <w:rPr>
          <w:sz w:val="28"/>
          <w:szCs w:val="28"/>
        </w:rPr>
        <w:t xml:space="preserve">, </w:t>
      </w:r>
      <w:r w:rsidR="000E02F0">
        <w:rPr>
          <w:sz w:val="28"/>
          <w:szCs w:val="28"/>
          <w:lang w:val="uk-UA"/>
        </w:rPr>
        <w:t>«</w:t>
      </w:r>
      <w:r w:rsidRPr="00E762E1">
        <w:rPr>
          <w:sz w:val="28"/>
          <w:szCs w:val="28"/>
        </w:rPr>
        <w:t>погана</w:t>
      </w:r>
      <w:r w:rsidR="000E02F0">
        <w:rPr>
          <w:sz w:val="28"/>
          <w:szCs w:val="28"/>
          <w:lang w:val="uk-UA"/>
        </w:rPr>
        <w:t>»</w:t>
      </w:r>
      <w:r w:rsidRPr="00E762E1">
        <w:rPr>
          <w:sz w:val="28"/>
          <w:szCs w:val="28"/>
        </w:rPr>
        <w:t xml:space="preserve"> гігієна порожнини рота. Отримані дані дослідження наведені у таблицях 3.4 - 3.6.</w:t>
      </w:r>
    </w:p>
    <w:p w:rsidR="00B16901" w:rsidRDefault="00B16901" w:rsidP="00DB00DB">
      <w:pPr>
        <w:pStyle w:val="161"/>
        <w:shd w:val="clear" w:color="auto" w:fill="auto"/>
        <w:spacing w:line="360" w:lineRule="auto"/>
        <w:ind w:left="20" w:right="40" w:firstLine="720"/>
        <w:jc w:val="both"/>
        <w:rPr>
          <w:sz w:val="28"/>
          <w:szCs w:val="28"/>
          <w:lang w:val="uk-UA"/>
        </w:rPr>
      </w:pPr>
    </w:p>
    <w:p w:rsidR="00B16901" w:rsidRDefault="00B16901" w:rsidP="00DB00DB">
      <w:pPr>
        <w:pStyle w:val="161"/>
        <w:shd w:val="clear" w:color="auto" w:fill="auto"/>
        <w:spacing w:line="360" w:lineRule="auto"/>
        <w:ind w:left="20" w:right="40" w:firstLine="720"/>
        <w:jc w:val="both"/>
        <w:rPr>
          <w:sz w:val="28"/>
          <w:szCs w:val="28"/>
          <w:lang w:val="uk-UA"/>
        </w:rPr>
      </w:pPr>
    </w:p>
    <w:p w:rsidR="00B16901" w:rsidRPr="00B16901" w:rsidRDefault="00B16901" w:rsidP="00DB00DB">
      <w:pPr>
        <w:pStyle w:val="161"/>
        <w:shd w:val="clear" w:color="auto" w:fill="auto"/>
        <w:spacing w:line="360" w:lineRule="auto"/>
        <w:ind w:left="20" w:right="40" w:firstLine="720"/>
        <w:jc w:val="both"/>
        <w:rPr>
          <w:sz w:val="28"/>
          <w:szCs w:val="28"/>
          <w:lang w:val="uk-UA"/>
        </w:rPr>
      </w:pPr>
    </w:p>
    <w:p w:rsidR="00DB00DB" w:rsidRPr="00966737" w:rsidRDefault="00DB00DB" w:rsidP="00DB00DB">
      <w:pPr>
        <w:pStyle w:val="ad"/>
        <w:jc w:val="right"/>
        <w:rPr>
          <w:i/>
          <w:lang w:val="ru-RU"/>
        </w:rPr>
      </w:pPr>
      <w:r w:rsidRPr="00966737">
        <w:rPr>
          <w:i/>
          <w:lang w:val="ru-RU"/>
        </w:rPr>
        <w:t>Таблиц</w:t>
      </w:r>
      <w:r w:rsidR="00E762E1">
        <w:rPr>
          <w:i/>
          <w:lang w:val="ru-RU"/>
        </w:rPr>
        <w:t>я</w:t>
      </w:r>
      <w:r w:rsidRPr="00966737">
        <w:rPr>
          <w:i/>
          <w:lang w:val="ru-RU"/>
        </w:rPr>
        <w:t xml:space="preserve"> 3.4</w:t>
      </w:r>
    </w:p>
    <w:p w:rsidR="00DB00DB" w:rsidRPr="00AB0D8F" w:rsidRDefault="00E762E1" w:rsidP="00DB00DB">
      <w:pPr>
        <w:pStyle w:val="ad"/>
        <w:jc w:val="center"/>
        <w:rPr>
          <w:lang w:val="ru-RU"/>
        </w:rPr>
      </w:pPr>
      <w:r w:rsidRPr="00AB0D8F">
        <w:rPr>
          <w:lang w:val="ru-RU"/>
        </w:rPr>
        <w:lastRenderedPageBreak/>
        <w:t xml:space="preserve">Стан гігієни порожнини рота </w:t>
      </w:r>
      <w:r w:rsidR="00C53BBB" w:rsidRPr="00AB0D8F">
        <w:rPr>
          <w:lang w:val="ru-RU"/>
        </w:rPr>
        <w:t>в</w:t>
      </w:r>
      <w:r w:rsidRPr="00AB0D8F">
        <w:rPr>
          <w:lang w:val="ru-RU"/>
        </w:rPr>
        <w:t xml:space="preserve"> дітей з ГЛЛ</w:t>
      </w:r>
      <w:r w:rsidRPr="00AB0D8F">
        <w:rPr>
          <w:lang w:val="ru-RU"/>
        </w:rPr>
        <w:br/>
      </w:r>
      <w:r w:rsidR="00AB0D8F">
        <w:rPr>
          <w:lang w:val="ru-RU"/>
        </w:rPr>
        <w:t xml:space="preserve">           </w:t>
      </w:r>
      <w:r w:rsidRPr="00AB0D8F">
        <w:rPr>
          <w:lang w:val="ru-RU"/>
        </w:rPr>
        <w:t>у перший гострий період</w:t>
      </w:r>
      <w:r w:rsidR="00DB00DB" w:rsidRPr="00AB0D8F">
        <w:rPr>
          <w:lang w:val="ru-RU"/>
        </w:rPr>
        <w:t>, М±m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3029"/>
        <w:gridCol w:w="3833"/>
      </w:tblGrid>
      <w:tr w:rsidR="00DB00DB" w:rsidRPr="00966737" w:rsidTr="00DB00DB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E762E1" w:rsidP="00DB00DB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Вік дітей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E762E1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OHI-S  (бал</w:t>
            </w:r>
            <w:r w:rsidR="00E762E1">
              <w:rPr>
                <w:lang w:val="ru-RU"/>
              </w:rPr>
              <w:t>ів</w:t>
            </w:r>
            <w:r w:rsidRPr="00966737">
              <w:rPr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E762E1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Silness-Loe (бал</w:t>
            </w:r>
            <w:r w:rsidR="00E762E1">
              <w:rPr>
                <w:lang w:val="ru-RU"/>
              </w:rPr>
              <w:t>ів</w:t>
            </w:r>
            <w:r w:rsidRPr="00966737">
              <w:rPr>
                <w:lang w:val="ru-RU"/>
              </w:rPr>
              <w:t>)</w:t>
            </w:r>
          </w:p>
        </w:tc>
      </w:tr>
      <w:tr w:rsidR="00DB00DB" w:rsidRPr="00966737" w:rsidTr="00DB00DB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2-5 (n=21)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2,4±0,12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2,46±0,13</w:t>
            </w:r>
          </w:p>
        </w:tc>
      </w:tr>
      <w:tr w:rsidR="00DB00DB" w:rsidRPr="00966737" w:rsidTr="00DB00DB">
        <w:trPr>
          <w:trHeight w:val="447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6-8 (n=9)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2,3 ± 0,12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2,35 ± 0,12</w:t>
            </w:r>
          </w:p>
        </w:tc>
      </w:tr>
      <w:tr w:rsidR="00DB00DB" w:rsidRPr="00966737" w:rsidTr="00DB00DB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9-11 (n=7)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1,5±0,08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1,95±0,11</w:t>
            </w:r>
          </w:p>
        </w:tc>
      </w:tr>
      <w:tr w:rsidR="00DB00DB" w:rsidRPr="00966737" w:rsidTr="00DB00DB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12-14 (n=16)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1,4 ± 0,07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1,77 ± 0,09</w:t>
            </w:r>
          </w:p>
        </w:tc>
      </w:tr>
      <w:tr w:rsidR="00DB00DB" w:rsidRPr="00966737" w:rsidTr="00DB00DB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15-18 (n=18)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1,3 ± 0,07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DB00DB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1,55 ± 0,08</w:t>
            </w:r>
          </w:p>
        </w:tc>
      </w:tr>
    </w:tbl>
    <w:p w:rsidR="00DB00DB" w:rsidRPr="00966737" w:rsidRDefault="00DB00DB" w:rsidP="00DB00DB">
      <w:pPr>
        <w:pStyle w:val="ad"/>
        <w:rPr>
          <w:lang w:val="ru-RU"/>
        </w:rPr>
      </w:pPr>
    </w:p>
    <w:p w:rsidR="00E762E1" w:rsidRDefault="00E762E1" w:rsidP="00DB00DB">
      <w:pPr>
        <w:pStyle w:val="ad"/>
        <w:rPr>
          <w:lang w:val="ru-RU"/>
        </w:rPr>
      </w:pPr>
      <w:r w:rsidRPr="00E762E1">
        <w:rPr>
          <w:lang w:val="ru-RU"/>
        </w:rPr>
        <w:t>Аналізуючи результати проведеного дослідження (табл. 3.4) встано</w:t>
      </w:r>
      <w:r w:rsidRPr="00E762E1">
        <w:rPr>
          <w:lang w:val="ru-RU"/>
        </w:rPr>
        <w:t>в</w:t>
      </w:r>
      <w:r w:rsidRPr="00E762E1">
        <w:rPr>
          <w:lang w:val="ru-RU"/>
        </w:rPr>
        <w:t xml:space="preserve">лено, що показники гігієнічного стану виявилися </w:t>
      </w:r>
      <w:r w:rsidR="000E02F0">
        <w:rPr>
          <w:lang w:val="ru-RU"/>
        </w:rPr>
        <w:t>«</w:t>
      </w:r>
      <w:r w:rsidRPr="00E762E1">
        <w:rPr>
          <w:lang w:val="ru-RU"/>
        </w:rPr>
        <w:t>поганими</w:t>
      </w:r>
      <w:r w:rsidR="000E02F0">
        <w:rPr>
          <w:lang w:val="ru-RU"/>
        </w:rPr>
        <w:t>»</w:t>
      </w:r>
      <w:r w:rsidRPr="00E762E1">
        <w:rPr>
          <w:lang w:val="ru-RU"/>
        </w:rPr>
        <w:t xml:space="preserve"> або </w:t>
      </w:r>
      <w:r w:rsidR="000E02F0">
        <w:rPr>
          <w:lang w:val="ru-RU"/>
        </w:rPr>
        <w:t>«</w:t>
      </w:r>
      <w:r w:rsidRPr="00E762E1">
        <w:rPr>
          <w:lang w:val="ru-RU"/>
        </w:rPr>
        <w:t>нез</w:t>
      </w:r>
      <w:r w:rsidRPr="00E762E1">
        <w:rPr>
          <w:lang w:val="ru-RU"/>
        </w:rPr>
        <w:t>а</w:t>
      </w:r>
      <w:r w:rsidRPr="00E762E1">
        <w:rPr>
          <w:lang w:val="ru-RU"/>
        </w:rPr>
        <w:t>довільними</w:t>
      </w:r>
      <w:r w:rsidR="000E02F0">
        <w:rPr>
          <w:lang w:val="ru-RU"/>
        </w:rPr>
        <w:t>»</w:t>
      </w:r>
      <w:r w:rsidRPr="00E762E1">
        <w:rPr>
          <w:lang w:val="ru-RU"/>
        </w:rPr>
        <w:t xml:space="preserve"> </w:t>
      </w:r>
      <w:r w:rsidR="00C53BBB">
        <w:rPr>
          <w:lang w:val="ru-RU"/>
        </w:rPr>
        <w:t>в</w:t>
      </w:r>
      <w:r w:rsidRPr="00E762E1">
        <w:rPr>
          <w:lang w:val="ru-RU"/>
        </w:rPr>
        <w:t xml:space="preserve"> </w:t>
      </w:r>
      <w:r w:rsidR="00C53BBB">
        <w:rPr>
          <w:lang w:val="ru-RU"/>
        </w:rPr>
        <w:t>у</w:t>
      </w:r>
      <w:r w:rsidRPr="00E762E1">
        <w:rPr>
          <w:lang w:val="ru-RU"/>
        </w:rPr>
        <w:t xml:space="preserve">сіх вікових групах дітей у перший гострий період ГЛЛ. Так, найгірший стан гігієни порожнини рота спостерігався </w:t>
      </w:r>
      <w:r w:rsidR="00C53BBB">
        <w:rPr>
          <w:lang w:val="ru-RU"/>
        </w:rPr>
        <w:t>в</w:t>
      </w:r>
      <w:r w:rsidRPr="00E762E1">
        <w:rPr>
          <w:lang w:val="ru-RU"/>
        </w:rPr>
        <w:t xml:space="preserve"> дітей молодшої гр</w:t>
      </w:r>
      <w:r w:rsidRPr="00E762E1">
        <w:rPr>
          <w:lang w:val="ru-RU"/>
        </w:rPr>
        <w:t>у</w:t>
      </w:r>
      <w:r w:rsidRPr="00E762E1">
        <w:rPr>
          <w:lang w:val="ru-RU"/>
        </w:rPr>
        <w:t xml:space="preserve">пи (2-5 років): лише 10% </w:t>
      </w:r>
      <w:r w:rsidR="000E02F0">
        <w:rPr>
          <w:lang w:val="ru-RU"/>
        </w:rPr>
        <w:t>«з</w:t>
      </w:r>
      <w:r w:rsidRPr="00E762E1">
        <w:rPr>
          <w:lang w:val="ru-RU"/>
        </w:rPr>
        <w:t>адовільний</w:t>
      </w:r>
      <w:r w:rsidR="000E02F0">
        <w:rPr>
          <w:lang w:val="ru-RU"/>
        </w:rPr>
        <w:t>»</w:t>
      </w:r>
      <w:r w:rsidRPr="00E762E1">
        <w:rPr>
          <w:lang w:val="ru-RU"/>
        </w:rPr>
        <w:t xml:space="preserve">, більше 50% дітей даної групи мали </w:t>
      </w:r>
      <w:r w:rsidR="000E02F0">
        <w:rPr>
          <w:lang w:val="ru-RU"/>
        </w:rPr>
        <w:t>«п</w:t>
      </w:r>
      <w:r w:rsidRPr="00E762E1">
        <w:rPr>
          <w:lang w:val="ru-RU"/>
        </w:rPr>
        <w:t>оганий</w:t>
      </w:r>
      <w:r w:rsidR="000E02F0">
        <w:rPr>
          <w:lang w:val="ru-RU"/>
        </w:rPr>
        <w:t>»</w:t>
      </w:r>
      <w:r w:rsidRPr="00E762E1">
        <w:rPr>
          <w:lang w:val="ru-RU"/>
        </w:rPr>
        <w:t xml:space="preserve"> стан гігієни порожнини рота. При цьому гігієнічний індекс OHI-S у дітей з ГЛЛ у перший гострий період складав від 1,3 ± 0,07 балів до 2,4 ± 0,12 балів, а індекс Silness-Loe </w:t>
      </w:r>
      <w:r w:rsidR="000E02F0">
        <w:rPr>
          <w:lang w:val="ru-RU"/>
        </w:rPr>
        <w:t xml:space="preserve"> </w:t>
      </w:r>
      <w:r w:rsidR="000E02F0" w:rsidRPr="00E762E1">
        <w:rPr>
          <w:lang w:val="ru-RU"/>
        </w:rPr>
        <w:t>–</w:t>
      </w:r>
      <w:r w:rsidRPr="00E762E1">
        <w:rPr>
          <w:lang w:val="ru-RU"/>
        </w:rPr>
        <w:t xml:space="preserve"> 1,55 ± 0,08 балів </w:t>
      </w:r>
      <w:r w:rsidR="000E02F0" w:rsidRPr="00E762E1">
        <w:rPr>
          <w:lang w:val="ru-RU"/>
        </w:rPr>
        <w:t>–</w:t>
      </w:r>
      <w:r w:rsidRPr="00E762E1">
        <w:rPr>
          <w:lang w:val="ru-RU"/>
        </w:rPr>
        <w:t>2,35 ± 0,12 балів.</w:t>
      </w:r>
    </w:p>
    <w:p w:rsidR="00E762E1" w:rsidRDefault="00E762E1" w:rsidP="00DB00DB">
      <w:pPr>
        <w:pStyle w:val="ad"/>
        <w:rPr>
          <w:lang w:val="ru-RU"/>
        </w:rPr>
      </w:pPr>
      <w:r w:rsidRPr="00E762E1">
        <w:rPr>
          <w:lang w:val="ru-RU"/>
        </w:rPr>
        <w:t>Це свідчить про низький рівень гігієнічного виховання молодших шк</w:t>
      </w:r>
      <w:r w:rsidRPr="00E762E1">
        <w:rPr>
          <w:lang w:val="ru-RU"/>
        </w:rPr>
        <w:t>о</w:t>
      </w:r>
      <w:r w:rsidRPr="00E762E1">
        <w:rPr>
          <w:lang w:val="ru-RU"/>
        </w:rPr>
        <w:t>лярів 6-8 років та недостатн</w:t>
      </w:r>
      <w:r w:rsidR="00C53BBB">
        <w:rPr>
          <w:lang w:val="ru-RU"/>
        </w:rPr>
        <w:t>ю</w:t>
      </w:r>
      <w:r w:rsidRPr="00E762E1">
        <w:rPr>
          <w:lang w:val="ru-RU"/>
        </w:rPr>
        <w:t xml:space="preserve"> інформован</w:t>
      </w:r>
      <w:r w:rsidR="00C53BBB">
        <w:rPr>
          <w:lang w:val="ru-RU"/>
        </w:rPr>
        <w:t>ість</w:t>
      </w:r>
      <w:r w:rsidRPr="00E762E1">
        <w:rPr>
          <w:lang w:val="ru-RU"/>
        </w:rPr>
        <w:t xml:space="preserve"> батьків дітей молодшої д</w:t>
      </w:r>
      <w:r w:rsidRPr="00E762E1">
        <w:rPr>
          <w:lang w:val="ru-RU"/>
        </w:rPr>
        <w:t>о</w:t>
      </w:r>
      <w:r w:rsidRPr="00E762E1">
        <w:rPr>
          <w:lang w:val="ru-RU"/>
        </w:rPr>
        <w:t>шкільної групи (2-5 років)</w:t>
      </w:r>
      <w:r w:rsidR="00C53BBB">
        <w:rPr>
          <w:lang w:val="ru-RU"/>
        </w:rPr>
        <w:t>,</w:t>
      </w:r>
      <w:r w:rsidRPr="00E762E1">
        <w:rPr>
          <w:lang w:val="ru-RU"/>
        </w:rPr>
        <w:t xml:space="preserve"> </w:t>
      </w:r>
      <w:r w:rsidR="00C53BBB">
        <w:rPr>
          <w:lang w:val="ru-RU"/>
        </w:rPr>
        <w:t>що</w:t>
      </w:r>
      <w:r w:rsidRPr="00E762E1">
        <w:rPr>
          <w:lang w:val="ru-RU"/>
        </w:rPr>
        <w:t xml:space="preserve"> потребує проведення активних форм роботи з навчання гігієни з </w:t>
      </w:r>
      <w:r w:rsidRPr="00737D50">
        <w:rPr>
          <w:lang w:val="ru-RU"/>
        </w:rPr>
        <w:t>метою вир</w:t>
      </w:r>
      <w:r w:rsidR="000E02F0" w:rsidRPr="00737D50">
        <w:rPr>
          <w:lang w:val="ru-RU"/>
        </w:rPr>
        <w:t>о</w:t>
      </w:r>
      <w:r w:rsidR="00737D50" w:rsidRPr="00737D50">
        <w:rPr>
          <w:lang w:val="ru-RU"/>
        </w:rPr>
        <w:t>б</w:t>
      </w:r>
      <w:r w:rsidR="00C53BBB">
        <w:rPr>
          <w:lang w:val="ru-RU"/>
        </w:rPr>
        <w:t>лення</w:t>
      </w:r>
      <w:r w:rsidRPr="00E762E1">
        <w:rPr>
          <w:lang w:val="ru-RU"/>
        </w:rPr>
        <w:t xml:space="preserve"> стійких навичок систематичного догл</w:t>
      </w:r>
      <w:r w:rsidRPr="00E762E1">
        <w:rPr>
          <w:lang w:val="ru-RU"/>
        </w:rPr>
        <w:t>я</w:t>
      </w:r>
      <w:r w:rsidRPr="00E762E1">
        <w:rPr>
          <w:lang w:val="ru-RU"/>
        </w:rPr>
        <w:t>ду за п</w:t>
      </w:r>
      <w:r w:rsidR="00F17221">
        <w:rPr>
          <w:lang w:val="ru-RU"/>
        </w:rPr>
        <w:t xml:space="preserve">орожниною рота. У групах дітей </w:t>
      </w:r>
      <w:r w:rsidRPr="00E762E1">
        <w:rPr>
          <w:lang w:val="ru-RU"/>
        </w:rPr>
        <w:t xml:space="preserve">9-11 років та 12-14 років з ГЛЛ у перший гострий період у 10,4% обстежуваних гігієна порожнини рота була </w:t>
      </w:r>
      <w:r w:rsidR="000E02F0">
        <w:rPr>
          <w:lang w:val="ru-RU"/>
        </w:rPr>
        <w:t>«</w:t>
      </w:r>
      <w:r w:rsidRPr="00E762E1">
        <w:rPr>
          <w:lang w:val="ru-RU"/>
        </w:rPr>
        <w:t>доброю</w:t>
      </w:r>
      <w:r w:rsidR="000E02F0">
        <w:rPr>
          <w:lang w:val="ru-RU"/>
        </w:rPr>
        <w:t>»</w:t>
      </w:r>
      <w:r w:rsidRPr="00E762E1">
        <w:rPr>
          <w:lang w:val="ru-RU"/>
        </w:rPr>
        <w:t xml:space="preserve">. У </w:t>
      </w:r>
      <w:r w:rsidR="00F17221">
        <w:rPr>
          <w:lang w:val="ru-RU"/>
        </w:rPr>
        <w:t>63</w:t>
      </w:r>
      <w:r w:rsidRPr="00E762E1">
        <w:rPr>
          <w:lang w:val="ru-RU"/>
        </w:rPr>
        <w:t xml:space="preserve">,3% дітей встановлено </w:t>
      </w:r>
      <w:r w:rsidR="000E02F0">
        <w:rPr>
          <w:lang w:val="ru-RU"/>
        </w:rPr>
        <w:t>«</w:t>
      </w:r>
      <w:r w:rsidRPr="00E762E1">
        <w:rPr>
          <w:lang w:val="ru-RU"/>
        </w:rPr>
        <w:t>задовільний</w:t>
      </w:r>
      <w:r w:rsidR="000E02F0">
        <w:rPr>
          <w:lang w:val="ru-RU"/>
        </w:rPr>
        <w:t>»</w:t>
      </w:r>
      <w:r w:rsidRPr="00E762E1">
        <w:rPr>
          <w:lang w:val="ru-RU"/>
        </w:rPr>
        <w:t xml:space="preserve"> гігієнічний стан поро</w:t>
      </w:r>
      <w:r w:rsidRPr="00E762E1">
        <w:rPr>
          <w:lang w:val="ru-RU"/>
        </w:rPr>
        <w:t>ж</w:t>
      </w:r>
      <w:r w:rsidRPr="00E762E1">
        <w:rPr>
          <w:lang w:val="ru-RU"/>
        </w:rPr>
        <w:t xml:space="preserve">нини рота, а </w:t>
      </w:r>
      <w:r w:rsidR="000E02F0">
        <w:rPr>
          <w:lang w:val="ru-RU"/>
        </w:rPr>
        <w:t>«</w:t>
      </w:r>
      <w:r w:rsidRPr="00E762E1">
        <w:rPr>
          <w:lang w:val="ru-RU"/>
        </w:rPr>
        <w:t>незадовільний</w:t>
      </w:r>
      <w:r w:rsidR="000E02F0">
        <w:rPr>
          <w:lang w:val="ru-RU"/>
        </w:rPr>
        <w:t>»</w:t>
      </w:r>
      <w:r w:rsidRPr="00E762E1">
        <w:rPr>
          <w:lang w:val="ru-RU"/>
        </w:rPr>
        <w:t xml:space="preserve"> </w:t>
      </w:r>
      <w:r w:rsidR="000E02F0" w:rsidRPr="00E762E1">
        <w:rPr>
          <w:lang w:val="ru-RU"/>
        </w:rPr>
        <w:t>–</w:t>
      </w:r>
      <w:r w:rsidRPr="00E762E1">
        <w:rPr>
          <w:lang w:val="ru-RU"/>
        </w:rPr>
        <w:t xml:space="preserve"> у 26,3%. При цьому індекс гігієни OHI-S склав 1,4 ± 0,07 балів, а Silness-Loe </w:t>
      </w:r>
      <w:r w:rsidR="000E02F0" w:rsidRPr="00E762E1">
        <w:rPr>
          <w:lang w:val="ru-RU"/>
        </w:rPr>
        <w:t>–</w:t>
      </w:r>
      <w:r w:rsidRPr="00E762E1">
        <w:rPr>
          <w:lang w:val="ru-RU"/>
        </w:rPr>
        <w:t xml:space="preserve"> 1,77 ± 0,09 балів.</w:t>
      </w:r>
      <w:r w:rsidR="000E02F0">
        <w:rPr>
          <w:lang w:val="ru-RU"/>
        </w:rPr>
        <w:t xml:space="preserve">  </w:t>
      </w:r>
    </w:p>
    <w:p w:rsidR="00E762E1" w:rsidRDefault="00E762E1" w:rsidP="00DB00DB">
      <w:pPr>
        <w:pStyle w:val="ad"/>
        <w:rPr>
          <w:lang w:val="ru-RU"/>
        </w:rPr>
      </w:pPr>
      <w:r w:rsidRPr="00E762E1">
        <w:rPr>
          <w:lang w:val="ru-RU"/>
        </w:rPr>
        <w:t xml:space="preserve">Однак з віком гігієна порожнини рота покращилася. Так, у віковій групі 15-18-річних дітей гігієнічні індекси OHI-S та Silness-Loe відповідали  1,3 ± 0,07 балів та 1,55 ± 0,08 балів. При цьому всього лише 15,3% дітей мали </w:t>
      </w:r>
      <w:r w:rsidRPr="00E762E1">
        <w:rPr>
          <w:lang w:val="ru-RU"/>
        </w:rPr>
        <w:lastRenderedPageBreak/>
        <w:t xml:space="preserve">гігієну порожнини рота </w:t>
      </w:r>
      <w:r w:rsidR="000E02F0">
        <w:rPr>
          <w:lang w:val="ru-RU"/>
        </w:rPr>
        <w:t>«</w:t>
      </w:r>
      <w:r w:rsidRPr="00E762E1">
        <w:rPr>
          <w:lang w:val="ru-RU"/>
        </w:rPr>
        <w:t>незадовільною</w:t>
      </w:r>
      <w:r w:rsidR="000E02F0">
        <w:rPr>
          <w:lang w:val="ru-RU"/>
        </w:rPr>
        <w:t>»</w:t>
      </w:r>
      <w:r w:rsidRPr="00E762E1">
        <w:rPr>
          <w:lang w:val="ru-RU"/>
        </w:rPr>
        <w:t>, а у 82,4% та 2,3% була визначен</w:t>
      </w:r>
      <w:r w:rsidR="000E02F0">
        <w:rPr>
          <w:lang w:val="ru-RU"/>
        </w:rPr>
        <w:t>а</w:t>
      </w:r>
      <w:r w:rsidRPr="00E762E1">
        <w:rPr>
          <w:lang w:val="ru-RU"/>
        </w:rPr>
        <w:t xml:space="preserve"> </w:t>
      </w:r>
      <w:r w:rsidR="000E02F0">
        <w:rPr>
          <w:lang w:val="ru-RU"/>
        </w:rPr>
        <w:t>«</w:t>
      </w:r>
      <w:r w:rsidRPr="00E762E1">
        <w:rPr>
          <w:lang w:val="ru-RU"/>
        </w:rPr>
        <w:t>задовільною</w:t>
      </w:r>
      <w:r w:rsidR="000E02F0">
        <w:rPr>
          <w:lang w:val="ru-RU"/>
        </w:rPr>
        <w:t xml:space="preserve">» </w:t>
      </w:r>
      <w:r w:rsidRPr="00E762E1">
        <w:rPr>
          <w:lang w:val="ru-RU"/>
        </w:rPr>
        <w:t xml:space="preserve"> та </w:t>
      </w:r>
      <w:r w:rsidR="000E02F0">
        <w:rPr>
          <w:lang w:val="ru-RU"/>
        </w:rPr>
        <w:t>«</w:t>
      </w:r>
      <w:r w:rsidRPr="00E762E1">
        <w:rPr>
          <w:lang w:val="ru-RU"/>
        </w:rPr>
        <w:t>доброю</w:t>
      </w:r>
      <w:r w:rsidR="000E02F0">
        <w:rPr>
          <w:lang w:val="ru-RU"/>
        </w:rPr>
        <w:t xml:space="preserve">» </w:t>
      </w:r>
      <w:r w:rsidRPr="00E762E1">
        <w:rPr>
          <w:lang w:val="ru-RU"/>
        </w:rPr>
        <w:t>відповідно.</w:t>
      </w:r>
    </w:p>
    <w:p w:rsidR="00E762E1" w:rsidRDefault="00E762E1" w:rsidP="00DB00DB">
      <w:pPr>
        <w:pStyle w:val="ad"/>
        <w:rPr>
          <w:lang w:val="ru-RU"/>
        </w:rPr>
      </w:pPr>
      <w:r w:rsidRPr="00E762E1">
        <w:rPr>
          <w:lang w:val="ru-RU"/>
        </w:rPr>
        <w:t xml:space="preserve">Наведені дані дослідження гігієнічного стану порожнини рота свідчать про те, що </w:t>
      </w:r>
      <w:r w:rsidR="00C53BBB">
        <w:rPr>
          <w:lang w:val="ru-RU"/>
        </w:rPr>
        <w:t>в</w:t>
      </w:r>
      <w:r w:rsidRPr="00E762E1">
        <w:rPr>
          <w:lang w:val="ru-RU"/>
        </w:rPr>
        <w:t xml:space="preserve"> дітей віком 15-18 років незадовільні цифрові значення індексу гігієни виявилися найнижчими, а задовільні та добрі </w:t>
      </w:r>
      <w:r w:rsidR="000E02F0" w:rsidRPr="00E762E1">
        <w:rPr>
          <w:lang w:val="ru-RU"/>
        </w:rPr>
        <w:t>–</w:t>
      </w:r>
      <w:r w:rsidRPr="00E762E1">
        <w:rPr>
          <w:lang w:val="ru-RU"/>
        </w:rPr>
        <w:t xml:space="preserve"> найвищими, що пов’язане, на наш погляд, з усвідомленим розумінням значення тих дій, які робить дитина для покращ</w:t>
      </w:r>
      <w:r w:rsidR="00C53BBB">
        <w:rPr>
          <w:lang w:val="ru-RU"/>
        </w:rPr>
        <w:t>а</w:t>
      </w:r>
      <w:r w:rsidRPr="00E762E1">
        <w:rPr>
          <w:lang w:val="ru-RU"/>
        </w:rPr>
        <w:t>ння свого здоров’я, та ці діти були більш відповідальними порівняно з молодшими школярами та дошк</w:t>
      </w:r>
      <w:r w:rsidR="00C53BBB">
        <w:rPr>
          <w:lang w:val="ru-RU"/>
        </w:rPr>
        <w:t>ільня</w:t>
      </w:r>
      <w:r w:rsidRPr="00E762E1">
        <w:rPr>
          <w:lang w:val="ru-RU"/>
        </w:rPr>
        <w:t>тами у в</w:t>
      </w:r>
      <w:r w:rsidRPr="00E762E1">
        <w:rPr>
          <w:lang w:val="ru-RU"/>
        </w:rPr>
        <w:t>и</w:t>
      </w:r>
      <w:r w:rsidRPr="00E762E1">
        <w:rPr>
          <w:lang w:val="ru-RU"/>
        </w:rPr>
        <w:t>конанні гігієнічних заходів.</w:t>
      </w:r>
      <w:r w:rsidR="000E02F0">
        <w:rPr>
          <w:lang w:val="ru-RU"/>
        </w:rPr>
        <w:t xml:space="preserve"> </w:t>
      </w:r>
    </w:p>
    <w:p w:rsidR="00E762E1" w:rsidRDefault="00E762E1" w:rsidP="00DB00DB">
      <w:pPr>
        <w:pStyle w:val="ad"/>
        <w:rPr>
          <w:lang w:val="ru-RU"/>
        </w:rPr>
      </w:pPr>
      <w:r w:rsidRPr="00E762E1">
        <w:rPr>
          <w:lang w:val="ru-RU"/>
        </w:rPr>
        <w:t xml:space="preserve">Подібна тенденція спостерігалася </w:t>
      </w:r>
      <w:r w:rsidR="00C53BBB">
        <w:rPr>
          <w:lang w:val="ru-RU"/>
        </w:rPr>
        <w:t>в</w:t>
      </w:r>
      <w:r w:rsidRPr="00E762E1">
        <w:rPr>
          <w:lang w:val="ru-RU"/>
        </w:rPr>
        <w:t xml:space="preserve"> групах дітей з ГЛЛ під час рецид</w:t>
      </w:r>
      <w:r w:rsidRPr="00E762E1">
        <w:rPr>
          <w:lang w:val="ru-RU"/>
        </w:rPr>
        <w:t>и</w:t>
      </w:r>
      <w:r w:rsidRPr="00E762E1">
        <w:rPr>
          <w:lang w:val="ru-RU"/>
        </w:rPr>
        <w:t>ву захворювання (табл. 3.5).</w:t>
      </w:r>
      <w:r w:rsidR="000E02F0">
        <w:rPr>
          <w:lang w:val="ru-RU"/>
        </w:rPr>
        <w:t xml:space="preserve"> </w:t>
      </w:r>
    </w:p>
    <w:p w:rsidR="00E762E1" w:rsidRPr="00E762E1" w:rsidRDefault="000E02F0" w:rsidP="00DB00DB">
      <w:pPr>
        <w:pStyle w:val="ad"/>
        <w:rPr>
          <w:lang w:val="ru-RU"/>
        </w:rPr>
      </w:pPr>
      <w:r>
        <w:rPr>
          <w:lang w:val="ru-RU"/>
        </w:rPr>
        <w:t>Так, за даними індексу OHI</w:t>
      </w:r>
      <w:r w:rsidR="00E762E1" w:rsidRPr="00E762E1">
        <w:rPr>
          <w:lang w:val="ru-RU"/>
        </w:rPr>
        <w:t xml:space="preserve">-S та Silness-Loe у дітей 2-5 років з ГЛЛ під час рецидиву показники були найгіршими та склали 2,5 ± 0,13 балів та 2,48 ± 0,13 балів, у дітей молодшого та середнього шкільного віку </w:t>
      </w:r>
      <w:r w:rsidRPr="00E762E1">
        <w:rPr>
          <w:lang w:val="ru-RU"/>
        </w:rPr>
        <w:t>–</w:t>
      </w:r>
      <w:r w:rsidR="00E762E1" w:rsidRPr="00E762E1">
        <w:rPr>
          <w:lang w:val="ru-RU"/>
        </w:rPr>
        <w:t xml:space="preserve"> від 1,5 ± 0,08</w:t>
      </w:r>
      <w:r>
        <w:rPr>
          <w:lang w:val="ru-RU"/>
        </w:rPr>
        <w:t>,</w:t>
      </w:r>
      <w:r w:rsidR="00E762E1" w:rsidRPr="00E762E1">
        <w:rPr>
          <w:lang w:val="ru-RU"/>
        </w:rPr>
        <w:t xml:space="preserve"> до 2,4 ± 0,12 балів склав ін</w:t>
      </w:r>
      <w:r w:rsidR="00830C8C">
        <w:rPr>
          <w:lang w:val="ru-RU"/>
        </w:rPr>
        <w:t>декс Грін-Вермі</w:t>
      </w:r>
      <w:r>
        <w:rPr>
          <w:lang w:val="ru-RU"/>
        </w:rPr>
        <w:t>ль</w:t>
      </w:r>
      <w:r w:rsidR="00830C8C">
        <w:rPr>
          <w:lang w:val="ru-RU"/>
        </w:rPr>
        <w:t xml:space="preserve">йона </w:t>
      </w:r>
      <w:r>
        <w:rPr>
          <w:lang w:val="ru-RU"/>
        </w:rPr>
        <w:t>та 1,81±</w:t>
      </w:r>
      <w:r w:rsidR="00E762E1" w:rsidRPr="00E762E1">
        <w:rPr>
          <w:lang w:val="ru-RU"/>
        </w:rPr>
        <w:t xml:space="preserve">0,09 </w:t>
      </w:r>
      <w:r w:rsidRPr="00E762E1">
        <w:rPr>
          <w:lang w:val="ru-RU"/>
        </w:rPr>
        <w:t>–</w:t>
      </w:r>
      <w:r w:rsidR="00E762E1" w:rsidRPr="00E762E1">
        <w:rPr>
          <w:lang w:val="ru-RU"/>
        </w:rPr>
        <w:t xml:space="preserve"> 2,48±0,13</w:t>
      </w:r>
      <w:r>
        <w:rPr>
          <w:lang w:val="ru-RU"/>
        </w:rPr>
        <w:t xml:space="preserve"> </w:t>
      </w:r>
      <w:r w:rsidR="00E762E1" w:rsidRPr="00E762E1">
        <w:rPr>
          <w:lang w:val="ru-RU"/>
        </w:rPr>
        <w:t xml:space="preserve">балів – індекс </w:t>
      </w:r>
      <w:r w:rsidR="00830C8C" w:rsidRPr="00E762E1">
        <w:rPr>
          <w:lang w:val="ru-RU"/>
        </w:rPr>
        <w:t>Silness-Loe</w:t>
      </w:r>
      <w:r w:rsidR="00E762E1" w:rsidRPr="00E762E1">
        <w:rPr>
          <w:lang w:val="ru-RU"/>
        </w:rPr>
        <w:t xml:space="preserve">, у дітей 15-18 років </w:t>
      </w:r>
      <w:r w:rsidRPr="00E762E1">
        <w:rPr>
          <w:lang w:val="ru-RU"/>
        </w:rPr>
        <w:t>–</w:t>
      </w:r>
      <w:r w:rsidR="00E762E1" w:rsidRPr="00E762E1">
        <w:rPr>
          <w:lang w:val="ru-RU"/>
        </w:rPr>
        <w:t xml:space="preserve"> 1,4 ± 0,06 балів та 1,59 ± 0,08 балів відповідно.</w:t>
      </w:r>
    </w:p>
    <w:p w:rsidR="00DB00DB" w:rsidRPr="00966737" w:rsidRDefault="00DB00DB" w:rsidP="00DB00DB">
      <w:pPr>
        <w:pStyle w:val="ad"/>
        <w:jc w:val="right"/>
        <w:rPr>
          <w:i/>
          <w:lang w:val="ru-RU"/>
        </w:rPr>
      </w:pPr>
      <w:r w:rsidRPr="00966737">
        <w:rPr>
          <w:i/>
          <w:lang w:val="ru-RU"/>
        </w:rPr>
        <w:t>Таблиц</w:t>
      </w:r>
      <w:r w:rsidR="00E762E1">
        <w:rPr>
          <w:i/>
          <w:lang w:val="ru-RU"/>
        </w:rPr>
        <w:t>я</w:t>
      </w:r>
      <w:r w:rsidRPr="00966737">
        <w:rPr>
          <w:i/>
          <w:lang w:val="ru-RU"/>
        </w:rPr>
        <w:t xml:space="preserve"> 3.5</w:t>
      </w:r>
    </w:p>
    <w:p w:rsidR="00DB00DB" w:rsidRPr="00AB0D8F" w:rsidRDefault="00E762E1" w:rsidP="00DB00DB">
      <w:pPr>
        <w:pStyle w:val="ad"/>
        <w:jc w:val="center"/>
        <w:rPr>
          <w:lang w:val="ru-RU"/>
        </w:rPr>
      </w:pPr>
      <w:r w:rsidRPr="00AB0D8F">
        <w:rPr>
          <w:lang w:val="ru-RU"/>
        </w:rPr>
        <w:t xml:space="preserve">Стан гігієни порожнини рота </w:t>
      </w:r>
      <w:r w:rsidR="00C53BBB" w:rsidRPr="00AB0D8F">
        <w:rPr>
          <w:lang w:val="ru-RU"/>
        </w:rPr>
        <w:t>в</w:t>
      </w:r>
      <w:r w:rsidRPr="00AB0D8F">
        <w:rPr>
          <w:lang w:val="ru-RU"/>
        </w:rPr>
        <w:t xml:space="preserve"> дітей з ГЛЛ</w:t>
      </w:r>
      <w:r w:rsidRPr="00AB0D8F">
        <w:rPr>
          <w:lang w:val="ru-RU"/>
        </w:rPr>
        <w:br/>
      </w:r>
      <w:r w:rsidR="00AB0D8F">
        <w:rPr>
          <w:lang w:val="ru-RU"/>
        </w:rPr>
        <w:t xml:space="preserve">           </w:t>
      </w:r>
      <w:r w:rsidRPr="00AB0D8F">
        <w:rPr>
          <w:lang w:val="ru-RU"/>
        </w:rPr>
        <w:t>під час рецидиву</w:t>
      </w:r>
      <w:r w:rsidR="00DB00DB" w:rsidRPr="00AB0D8F">
        <w:rPr>
          <w:lang w:val="ru-RU"/>
        </w:rPr>
        <w:t>, М±m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101"/>
        <w:gridCol w:w="3924"/>
      </w:tblGrid>
      <w:tr w:rsidR="00DB00DB" w:rsidRPr="00966737" w:rsidTr="00461E92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E762E1" w:rsidP="00461E92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Вік дітей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E762E1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OHI-S  (бал</w:t>
            </w:r>
            <w:r w:rsidR="00E762E1">
              <w:rPr>
                <w:lang w:val="ru-RU"/>
              </w:rPr>
              <w:t>ів</w:t>
            </w:r>
            <w:r w:rsidRPr="00966737">
              <w:rPr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E762E1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Silness-Loe (бал</w:t>
            </w:r>
            <w:r w:rsidR="00E762E1">
              <w:rPr>
                <w:lang w:val="ru-RU"/>
              </w:rPr>
              <w:t>ів</w:t>
            </w:r>
            <w:r w:rsidRPr="00966737">
              <w:rPr>
                <w:lang w:val="ru-RU"/>
              </w:rPr>
              <w:t>)</w:t>
            </w:r>
          </w:p>
        </w:tc>
      </w:tr>
      <w:tr w:rsidR="00DB00DB" w:rsidRPr="00966737" w:rsidTr="00461E92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2-5 (n=6)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2,5±0,13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2,48±0,13</w:t>
            </w:r>
          </w:p>
        </w:tc>
      </w:tr>
      <w:tr w:rsidR="00DB00DB" w:rsidRPr="00966737" w:rsidTr="00461E92">
        <w:trPr>
          <w:trHeight w:val="447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6-8 (n=5)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2,4 ± 0,12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2,37 ± 0,12</w:t>
            </w:r>
          </w:p>
        </w:tc>
      </w:tr>
      <w:tr w:rsidR="00DB00DB" w:rsidRPr="00966737" w:rsidTr="00461E92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9-11 (n=3)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1,6±0,08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1,97±0,10</w:t>
            </w:r>
          </w:p>
        </w:tc>
      </w:tr>
      <w:tr w:rsidR="00DB00DB" w:rsidRPr="00966737" w:rsidTr="00461E92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12-14 (n=5)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1,5 ± 0,08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1,81 ± 0,09</w:t>
            </w:r>
          </w:p>
        </w:tc>
      </w:tr>
      <w:tr w:rsidR="00DB00DB" w:rsidRPr="00966737" w:rsidTr="00461E92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15-18 (n=5)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1,4 ± 0,07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1,59 ± 0,08</w:t>
            </w:r>
          </w:p>
        </w:tc>
      </w:tr>
    </w:tbl>
    <w:p w:rsidR="00DB00DB" w:rsidRPr="00966737" w:rsidRDefault="00DB00DB" w:rsidP="00DB00DB">
      <w:pPr>
        <w:pStyle w:val="12"/>
        <w:shd w:val="clear" w:color="auto" w:fill="auto"/>
        <w:spacing w:before="0" w:after="0" w:line="360" w:lineRule="auto"/>
        <w:ind w:firstLine="720"/>
        <w:jc w:val="both"/>
        <w:rPr>
          <w:rStyle w:val="100"/>
          <w:sz w:val="28"/>
          <w:szCs w:val="28"/>
        </w:rPr>
      </w:pPr>
    </w:p>
    <w:p w:rsidR="00DB00DB" w:rsidRPr="00966737" w:rsidRDefault="00E762E1" w:rsidP="00DB00DB">
      <w:pPr>
        <w:pStyle w:val="12"/>
        <w:shd w:val="clear" w:color="auto" w:fill="auto"/>
        <w:spacing w:before="0" w:after="0" w:line="360" w:lineRule="auto"/>
        <w:ind w:firstLine="720"/>
        <w:jc w:val="both"/>
        <w:rPr>
          <w:rStyle w:val="100"/>
          <w:sz w:val="28"/>
          <w:szCs w:val="28"/>
        </w:rPr>
      </w:pPr>
      <w:r>
        <w:rPr>
          <w:rStyle w:val="100"/>
          <w:sz w:val="28"/>
          <w:szCs w:val="28"/>
          <w:lang w:val="uk-UA"/>
        </w:rPr>
        <w:t xml:space="preserve">Однак, аналізуючи цифрові значення гігієничних індексів, отриманих у дітей з ГЛЛ у стадії ремісії, можливо зробити висновок, що кількість дітей з </w:t>
      </w:r>
      <w:r>
        <w:rPr>
          <w:rStyle w:val="100"/>
          <w:sz w:val="28"/>
          <w:szCs w:val="28"/>
          <w:lang w:val="uk-UA"/>
        </w:rPr>
        <w:lastRenderedPageBreak/>
        <w:t>незадовільною гігієною була меншою порівняно із групами дітей першого гострого періоду та рецидиву гострого лімфобластного лейкозу</w:t>
      </w:r>
      <w:r w:rsidR="00DB00DB" w:rsidRPr="00966737">
        <w:rPr>
          <w:rStyle w:val="100"/>
          <w:sz w:val="28"/>
          <w:szCs w:val="28"/>
        </w:rPr>
        <w:t xml:space="preserve"> (табл.3.6).</w:t>
      </w:r>
    </w:p>
    <w:p w:rsidR="00DB00DB" w:rsidRDefault="00DB00DB" w:rsidP="00DB00DB">
      <w:pPr>
        <w:pStyle w:val="12"/>
        <w:shd w:val="clear" w:color="auto" w:fill="auto"/>
        <w:spacing w:before="0" w:after="0" w:line="360" w:lineRule="auto"/>
        <w:ind w:firstLine="720"/>
        <w:jc w:val="both"/>
        <w:rPr>
          <w:rStyle w:val="100"/>
          <w:sz w:val="28"/>
          <w:szCs w:val="28"/>
        </w:rPr>
      </w:pPr>
    </w:p>
    <w:p w:rsidR="00DB00DB" w:rsidRPr="00966737" w:rsidRDefault="00DB00DB" w:rsidP="00DB00DB">
      <w:pPr>
        <w:pStyle w:val="ad"/>
        <w:jc w:val="right"/>
        <w:rPr>
          <w:i/>
          <w:lang w:val="ru-RU"/>
        </w:rPr>
      </w:pPr>
      <w:r w:rsidRPr="00966737">
        <w:rPr>
          <w:i/>
          <w:lang w:val="ru-RU"/>
        </w:rPr>
        <w:t>Таблиц</w:t>
      </w:r>
      <w:r w:rsidR="00E762E1">
        <w:rPr>
          <w:i/>
          <w:lang w:val="ru-RU"/>
        </w:rPr>
        <w:t>я</w:t>
      </w:r>
      <w:r w:rsidRPr="00966737">
        <w:rPr>
          <w:i/>
          <w:lang w:val="ru-RU"/>
        </w:rPr>
        <w:t xml:space="preserve"> 3.6</w:t>
      </w:r>
    </w:p>
    <w:p w:rsidR="00DB00DB" w:rsidRPr="00AB0D8F" w:rsidRDefault="00E762E1" w:rsidP="00DB00DB">
      <w:pPr>
        <w:pStyle w:val="ad"/>
        <w:jc w:val="center"/>
        <w:rPr>
          <w:lang w:val="ru-RU"/>
        </w:rPr>
      </w:pPr>
      <w:r w:rsidRPr="00AB0D8F">
        <w:rPr>
          <w:lang w:val="ru-RU"/>
        </w:rPr>
        <w:t xml:space="preserve">Стан гігієни порожнини рота </w:t>
      </w:r>
      <w:r w:rsidR="00C53BBB" w:rsidRPr="00AB0D8F">
        <w:rPr>
          <w:lang w:val="ru-RU"/>
        </w:rPr>
        <w:t>в</w:t>
      </w:r>
      <w:r w:rsidRPr="00AB0D8F">
        <w:rPr>
          <w:lang w:val="ru-RU"/>
        </w:rPr>
        <w:t xml:space="preserve"> дітей з ГЛЛ</w:t>
      </w:r>
      <w:r w:rsidRPr="00AB0D8F">
        <w:rPr>
          <w:lang w:val="ru-RU"/>
        </w:rPr>
        <w:br/>
      </w:r>
      <w:r w:rsidR="00AB0D8F">
        <w:rPr>
          <w:lang w:val="ru-RU"/>
        </w:rPr>
        <w:t xml:space="preserve">       </w:t>
      </w:r>
      <w:r w:rsidRPr="00AB0D8F">
        <w:rPr>
          <w:lang w:val="ru-RU"/>
        </w:rPr>
        <w:t>у період ремісії</w:t>
      </w:r>
      <w:r w:rsidR="00DB00DB" w:rsidRPr="00AB0D8F">
        <w:rPr>
          <w:lang w:val="ru-RU"/>
        </w:rPr>
        <w:t>, М±m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101"/>
        <w:gridCol w:w="3924"/>
      </w:tblGrid>
      <w:tr w:rsidR="00DB00DB" w:rsidRPr="00966737" w:rsidTr="00461E92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E762E1" w:rsidP="00461E92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Вік дітей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E762E1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OHI-S  (бал</w:t>
            </w:r>
            <w:r w:rsidR="00E762E1">
              <w:rPr>
                <w:lang w:val="ru-RU"/>
              </w:rPr>
              <w:t>ів</w:t>
            </w:r>
            <w:r w:rsidRPr="00966737">
              <w:rPr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E762E1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Silness-Loe (бал</w:t>
            </w:r>
            <w:r w:rsidR="00E762E1">
              <w:rPr>
                <w:lang w:val="ru-RU"/>
              </w:rPr>
              <w:t>ів</w:t>
            </w:r>
            <w:r w:rsidRPr="00966737">
              <w:rPr>
                <w:lang w:val="ru-RU"/>
              </w:rPr>
              <w:t>)</w:t>
            </w:r>
          </w:p>
        </w:tc>
      </w:tr>
      <w:tr w:rsidR="00DB00DB" w:rsidRPr="00966737" w:rsidTr="00461E92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2-5 (n=8)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2,1±0,11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2,27±0,12</w:t>
            </w:r>
          </w:p>
        </w:tc>
      </w:tr>
      <w:tr w:rsidR="00DB00DB" w:rsidRPr="00966737" w:rsidTr="00461E92">
        <w:trPr>
          <w:trHeight w:val="447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6-8 (n=5)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1,8 ± 0,09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2,01 ± 0,10</w:t>
            </w:r>
          </w:p>
        </w:tc>
      </w:tr>
      <w:tr w:rsidR="00DB00DB" w:rsidRPr="00966737" w:rsidTr="00461E92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9-11 (n=4)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1,4±0,07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1,52±0,08</w:t>
            </w:r>
          </w:p>
        </w:tc>
      </w:tr>
      <w:tr w:rsidR="00DB00DB" w:rsidRPr="00966737" w:rsidTr="00461E92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12-14 (n=5)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1,2 ± 0,06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1,37 ± 0,07</w:t>
            </w:r>
          </w:p>
        </w:tc>
      </w:tr>
      <w:tr w:rsidR="00DB00DB" w:rsidRPr="00966737" w:rsidTr="00461E92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15-18 (n=9)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1,1 ± 0,06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0DB" w:rsidRPr="00966737" w:rsidRDefault="00DB00DB" w:rsidP="00461E92">
            <w:pPr>
              <w:pStyle w:val="ad"/>
              <w:jc w:val="center"/>
              <w:rPr>
                <w:lang w:val="ru-RU"/>
              </w:rPr>
            </w:pPr>
            <w:r w:rsidRPr="00966737">
              <w:rPr>
                <w:lang w:val="ru-RU"/>
              </w:rPr>
              <w:t>1,22 ± 0,06</w:t>
            </w:r>
          </w:p>
        </w:tc>
      </w:tr>
    </w:tbl>
    <w:p w:rsidR="00D726C2" w:rsidRPr="00966737" w:rsidRDefault="00D726C2" w:rsidP="00DB00DB">
      <w:pPr>
        <w:pStyle w:val="12"/>
        <w:spacing w:before="0" w:after="0" w:line="360" w:lineRule="auto"/>
        <w:ind w:firstLine="720"/>
        <w:jc w:val="both"/>
        <w:rPr>
          <w:rStyle w:val="100"/>
          <w:sz w:val="28"/>
          <w:szCs w:val="28"/>
        </w:rPr>
      </w:pPr>
    </w:p>
    <w:p w:rsidR="00E762E1" w:rsidRDefault="00E762E1" w:rsidP="00DB00DB">
      <w:pPr>
        <w:pStyle w:val="12"/>
        <w:spacing w:before="0" w:after="0" w:line="360" w:lineRule="auto"/>
        <w:ind w:firstLine="720"/>
        <w:jc w:val="both"/>
        <w:rPr>
          <w:rStyle w:val="100"/>
          <w:sz w:val="28"/>
          <w:szCs w:val="28"/>
          <w:lang w:val="uk-UA"/>
        </w:rPr>
      </w:pPr>
      <w:r w:rsidRPr="00E762E1">
        <w:rPr>
          <w:rStyle w:val="100"/>
          <w:sz w:val="28"/>
          <w:szCs w:val="28"/>
        </w:rPr>
        <w:t>Таким чином, дослідження гігієніч</w:t>
      </w:r>
      <w:r w:rsidR="00830C8C">
        <w:rPr>
          <w:rStyle w:val="100"/>
          <w:sz w:val="28"/>
          <w:szCs w:val="28"/>
        </w:rPr>
        <w:t>ного стану порожнини рота свідч</w:t>
      </w:r>
      <w:r w:rsidR="00830C8C">
        <w:rPr>
          <w:rStyle w:val="100"/>
          <w:sz w:val="28"/>
          <w:szCs w:val="28"/>
          <w:lang w:val="uk-UA"/>
        </w:rPr>
        <w:t>а</w:t>
      </w:r>
      <w:r w:rsidRPr="00E762E1">
        <w:rPr>
          <w:rStyle w:val="100"/>
          <w:sz w:val="28"/>
          <w:szCs w:val="28"/>
        </w:rPr>
        <w:t xml:space="preserve">ть про те, що </w:t>
      </w:r>
      <w:r w:rsidR="00C53BBB">
        <w:rPr>
          <w:rStyle w:val="100"/>
          <w:sz w:val="28"/>
          <w:szCs w:val="28"/>
          <w:lang w:val="uk-UA"/>
        </w:rPr>
        <w:t>в</w:t>
      </w:r>
      <w:r w:rsidRPr="00E762E1">
        <w:rPr>
          <w:rStyle w:val="100"/>
          <w:sz w:val="28"/>
          <w:szCs w:val="28"/>
        </w:rPr>
        <w:t xml:space="preserve"> дітей з гострим лімфобластним лейкозом </w:t>
      </w:r>
      <w:r w:rsidR="00C53BBB">
        <w:rPr>
          <w:rStyle w:val="100"/>
          <w:sz w:val="28"/>
          <w:szCs w:val="28"/>
          <w:lang w:val="uk-UA"/>
        </w:rPr>
        <w:t>у</w:t>
      </w:r>
      <w:r w:rsidRPr="00E762E1">
        <w:rPr>
          <w:rStyle w:val="100"/>
          <w:sz w:val="28"/>
          <w:szCs w:val="28"/>
        </w:rPr>
        <w:t xml:space="preserve"> середньому гігієнічний індекс відповідає </w:t>
      </w:r>
      <w:r w:rsidR="000E02F0">
        <w:rPr>
          <w:rStyle w:val="100"/>
          <w:sz w:val="28"/>
          <w:szCs w:val="28"/>
          <w:lang w:val="uk-UA"/>
        </w:rPr>
        <w:t>«</w:t>
      </w:r>
      <w:r w:rsidRPr="00E762E1">
        <w:rPr>
          <w:rStyle w:val="100"/>
          <w:sz w:val="28"/>
          <w:szCs w:val="28"/>
        </w:rPr>
        <w:t>поганому</w:t>
      </w:r>
      <w:r w:rsidR="000E02F0">
        <w:rPr>
          <w:rStyle w:val="100"/>
          <w:sz w:val="28"/>
          <w:szCs w:val="28"/>
          <w:lang w:val="uk-UA"/>
        </w:rPr>
        <w:t>»</w:t>
      </w:r>
      <w:r w:rsidRPr="00E762E1">
        <w:rPr>
          <w:rStyle w:val="100"/>
          <w:sz w:val="28"/>
          <w:szCs w:val="28"/>
        </w:rPr>
        <w:t xml:space="preserve"> у дошкільному (2-5 років) та м</w:t>
      </w:r>
      <w:r w:rsidRPr="00E762E1">
        <w:rPr>
          <w:rStyle w:val="100"/>
          <w:sz w:val="28"/>
          <w:szCs w:val="28"/>
        </w:rPr>
        <w:t>о</w:t>
      </w:r>
      <w:r w:rsidRPr="00E762E1">
        <w:rPr>
          <w:rStyle w:val="100"/>
          <w:sz w:val="28"/>
          <w:szCs w:val="28"/>
        </w:rPr>
        <w:t>лодшому шкільному віці (6-8 років). У підлітків виявлена тенденція до п</w:t>
      </w:r>
      <w:r w:rsidRPr="00E762E1">
        <w:rPr>
          <w:rStyle w:val="100"/>
          <w:sz w:val="28"/>
          <w:szCs w:val="28"/>
        </w:rPr>
        <w:t>о</w:t>
      </w:r>
      <w:r w:rsidRPr="00E762E1">
        <w:rPr>
          <w:rStyle w:val="100"/>
          <w:sz w:val="28"/>
          <w:szCs w:val="28"/>
        </w:rPr>
        <w:t>кращення гігієнічного догляду за фронтальною групо</w:t>
      </w:r>
      <w:r w:rsidR="000E02F0">
        <w:rPr>
          <w:rStyle w:val="100"/>
          <w:sz w:val="28"/>
          <w:szCs w:val="28"/>
          <w:lang w:val="uk-UA"/>
        </w:rPr>
        <w:t>ю</w:t>
      </w:r>
      <w:r w:rsidRPr="00E762E1">
        <w:rPr>
          <w:rStyle w:val="100"/>
          <w:sz w:val="28"/>
          <w:szCs w:val="28"/>
        </w:rPr>
        <w:t xml:space="preserve"> зубів. Однак наст</w:t>
      </w:r>
      <w:r w:rsidRPr="00E762E1">
        <w:rPr>
          <w:rStyle w:val="100"/>
          <w:sz w:val="28"/>
          <w:szCs w:val="28"/>
        </w:rPr>
        <w:t>о</w:t>
      </w:r>
      <w:r w:rsidRPr="00E762E1">
        <w:rPr>
          <w:rStyle w:val="100"/>
          <w:sz w:val="28"/>
          <w:szCs w:val="28"/>
        </w:rPr>
        <w:t xml:space="preserve">рожує досить велика кількість дітей у цьому віці, що мають незадовільний гігієнічний стан порожнини рота та є групою ризику виникнення уражень як у твердих тканинах зубів, так і </w:t>
      </w:r>
      <w:r w:rsidR="00C53BBB">
        <w:rPr>
          <w:rStyle w:val="100"/>
          <w:sz w:val="28"/>
          <w:szCs w:val="28"/>
          <w:lang w:val="uk-UA"/>
        </w:rPr>
        <w:t>в</w:t>
      </w:r>
      <w:r w:rsidRPr="00E762E1">
        <w:rPr>
          <w:rStyle w:val="100"/>
          <w:sz w:val="28"/>
          <w:szCs w:val="28"/>
        </w:rPr>
        <w:t xml:space="preserve"> тканинах пародонту.</w:t>
      </w:r>
    </w:p>
    <w:p w:rsidR="00E762E1" w:rsidRDefault="00E762E1" w:rsidP="00DB00DB">
      <w:pPr>
        <w:pStyle w:val="12"/>
        <w:spacing w:before="0" w:after="0" w:line="360" w:lineRule="auto"/>
        <w:ind w:firstLine="720"/>
        <w:jc w:val="both"/>
        <w:rPr>
          <w:rStyle w:val="100"/>
          <w:sz w:val="28"/>
          <w:szCs w:val="28"/>
          <w:lang w:val="uk-UA"/>
        </w:rPr>
      </w:pPr>
      <w:r w:rsidRPr="00E762E1">
        <w:rPr>
          <w:rStyle w:val="100"/>
          <w:sz w:val="28"/>
          <w:szCs w:val="28"/>
          <w:lang w:val="uk-UA"/>
        </w:rPr>
        <w:t>Крім того</w:t>
      </w:r>
      <w:r w:rsidR="00C53BBB">
        <w:rPr>
          <w:rStyle w:val="100"/>
          <w:sz w:val="28"/>
          <w:szCs w:val="28"/>
          <w:lang w:val="uk-UA"/>
        </w:rPr>
        <w:t>,</w:t>
      </w:r>
      <w:r w:rsidRPr="00E762E1">
        <w:rPr>
          <w:rStyle w:val="100"/>
          <w:sz w:val="28"/>
          <w:szCs w:val="28"/>
          <w:lang w:val="uk-UA"/>
        </w:rPr>
        <w:t xml:space="preserve"> цифрові значення гігієнічних індексів </w:t>
      </w:r>
      <w:r w:rsidRPr="00E762E1">
        <w:rPr>
          <w:rStyle w:val="100"/>
          <w:sz w:val="28"/>
          <w:szCs w:val="28"/>
        </w:rPr>
        <w:t>OHI</w:t>
      </w:r>
      <w:r w:rsidR="000E02F0">
        <w:rPr>
          <w:rStyle w:val="100"/>
          <w:sz w:val="28"/>
          <w:szCs w:val="28"/>
          <w:lang w:val="uk-UA"/>
        </w:rPr>
        <w:t>-</w:t>
      </w:r>
      <w:r w:rsidRPr="00E762E1">
        <w:rPr>
          <w:rStyle w:val="100"/>
          <w:sz w:val="28"/>
          <w:szCs w:val="28"/>
        </w:rPr>
        <w:t>S</w:t>
      </w:r>
      <w:r w:rsidRPr="00E762E1">
        <w:rPr>
          <w:rStyle w:val="100"/>
          <w:sz w:val="28"/>
          <w:szCs w:val="28"/>
          <w:lang w:val="uk-UA"/>
        </w:rPr>
        <w:t xml:space="preserve"> та </w:t>
      </w:r>
      <w:r w:rsidRPr="00E762E1">
        <w:rPr>
          <w:rStyle w:val="100"/>
          <w:sz w:val="28"/>
          <w:szCs w:val="28"/>
        </w:rPr>
        <w:t>Silness</w:t>
      </w:r>
      <w:r w:rsidRPr="00E762E1">
        <w:rPr>
          <w:rStyle w:val="100"/>
          <w:sz w:val="28"/>
          <w:szCs w:val="28"/>
          <w:lang w:val="uk-UA"/>
        </w:rPr>
        <w:t>-</w:t>
      </w:r>
      <w:r w:rsidRPr="00E762E1">
        <w:rPr>
          <w:rStyle w:val="100"/>
          <w:sz w:val="28"/>
          <w:szCs w:val="28"/>
        </w:rPr>
        <w:t>Loe</w:t>
      </w:r>
      <w:r w:rsidRPr="00E762E1">
        <w:rPr>
          <w:rStyle w:val="100"/>
          <w:sz w:val="28"/>
          <w:szCs w:val="28"/>
          <w:lang w:val="uk-UA"/>
        </w:rPr>
        <w:t xml:space="preserve"> залежать не лише від віку дитини, але й від період</w:t>
      </w:r>
      <w:r w:rsidR="009A711C">
        <w:rPr>
          <w:rStyle w:val="100"/>
          <w:sz w:val="28"/>
          <w:szCs w:val="28"/>
          <w:lang w:val="uk-UA"/>
        </w:rPr>
        <w:t>у</w:t>
      </w:r>
      <w:r w:rsidRPr="00E762E1">
        <w:rPr>
          <w:rStyle w:val="100"/>
          <w:sz w:val="28"/>
          <w:szCs w:val="28"/>
          <w:lang w:val="uk-UA"/>
        </w:rPr>
        <w:t xml:space="preserve"> клінічного перебігу ле</w:t>
      </w:r>
      <w:r w:rsidRPr="00E762E1">
        <w:rPr>
          <w:rStyle w:val="100"/>
          <w:sz w:val="28"/>
          <w:szCs w:val="28"/>
          <w:lang w:val="uk-UA"/>
        </w:rPr>
        <w:t>й</w:t>
      </w:r>
      <w:r w:rsidRPr="00E762E1">
        <w:rPr>
          <w:rStyle w:val="100"/>
          <w:sz w:val="28"/>
          <w:szCs w:val="28"/>
          <w:lang w:val="uk-UA"/>
        </w:rPr>
        <w:t>коз</w:t>
      </w:r>
      <w:r w:rsidR="009A711C">
        <w:rPr>
          <w:rStyle w:val="100"/>
          <w:sz w:val="28"/>
          <w:szCs w:val="28"/>
          <w:lang w:val="uk-UA"/>
        </w:rPr>
        <w:t>у</w:t>
      </w:r>
      <w:r w:rsidRPr="00E762E1">
        <w:rPr>
          <w:rStyle w:val="100"/>
          <w:sz w:val="28"/>
          <w:szCs w:val="28"/>
          <w:lang w:val="uk-UA"/>
        </w:rPr>
        <w:t xml:space="preserve">. </w:t>
      </w:r>
      <w:r w:rsidRPr="00FD1D07">
        <w:rPr>
          <w:rStyle w:val="100"/>
          <w:sz w:val="28"/>
          <w:szCs w:val="28"/>
          <w:lang w:val="uk-UA"/>
        </w:rPr>
        <w:t xml:space="preserve">Так, найменші значення індексів, що характеризують гігієнічний стан у порожнині рота, встановлені </w:t>
      </w:r>
      <w:r w:rsidR="00A208CB">
        <w:rPr>
          <w:rStyle w:val="100"/>
          <w:sz w:val="28"/>
          <w:szCs w:val="28"/>
          <w:lang w:val="uk-UA"/>
        </w:rPr>
        <w:t>в</w:t>
      </w:r>
      <w:r w:rsidRPr="00FD1D07">
        <w:rPr>
          <w:rStyle w:val="100"/>
          <w:sz w:val="28"/>
          <w:szCs w:val="28"/>
          <w:lang w:val="uk-UA"/>
        </w:rPr>
        <w:t xml:space="preserve"> дітей у стадії ремісії захворювання, а високі – на фоні рецидиву ГЛЛ, що пов’язан</w:t>
      </w:r>
      <w:r w:rsidR="00A208CB">
        <w:rPr>
          <w:rStyle w:val="100"/>
          <w:sz w:val="28"/>
          <w:szCs w:val="28"/>
          <w:lang w:val="uk-UA"/>
        </w:rPr>
        <w:t>о</w:t>
      </w:r>
      <w:r w:rsidRPr="00FD1D07">
        <w:rPr>
          <w:rStyle w:val="100"/>
          <w:sz w:val="28"/>
          <w:szCs w:val="28"/>
          <w:lang w:val="uk-UA"/>
        </w:rPr>
        <w:t xml:space="preserve">, на нашу думку, з важким загальним станом та болючими відчуттями у порожнині рота </w:t>
      </w:r>
      <w:r w:rsidR="00A208CB">
        <w:rPr>
          <w:rStyle w:val="100"/>
          <w:sz w:val="28"/>
          <w:szCs w:val="28"/>
          <w:lang w:val="uk-UA"/>
        </w:rPr>
        <w:t>в</w:t>
      </w:r>
      <w:r w:rsidRPr="00FD1D07">
        <w:rPr>
          <w:rStyle w:val="100"/>
          <w:sz w:val="28"/>
          <w:szCs w:val="28"/>
          <w:lang w:val="uk-UA"/>
        </w:rPr>
        <w:t xml:space="preserve"> даного контингенту д</w:t>
      </w:r>
      <w:r w:rsidRPr="00FD1D07">
        <w:rPr>
          <w:rStyle w:val="100"/>
          <w:sz w:val="28"/>
          <w:szCs w:val="28"/>
          <w:lang w:val="uk-UA"/>
        </w:rPr>
        <w:t>і</w:t>
      </w:r>
      <w:r w:rsidRPr="00FD1D07">
        <w:rPr>
          <w:rStyle w:val="100"/>
          <w:sz w:val="28"/>
          <w:szCs w:val="28"/>
          <w:lang w:val="uk-UA"/>
        </w:rPr>
        <w:t>тей. Стабільність величини гігієнічних індексів навіть у стадії ремісії ГЛЛ ми пов’язуємо з негативним впливом курсів хіміотерапії на гігієнічний стан п</w:t>
      </w:r>
      <w:r w:rsidRPr="00FD1D07">
        <w:rPr>
          <w:rStyle w:val="100"/>
          <w:sz w:val="28"/>
          <w:szCs w:val="28"/>
          <w:lang w:val="uk-UA"/>
        </w:rPr>
        <w:t>о</w:t>
      </w:r>
      <w:r w:rsidRPr="00FD1D07">
        <w:rPr>
          <w:rStyle w:val="100"/>
          <w:sz w:val="28"/>
          <w:szCs w:val="28"/>
          <w:lang w:val="uk-UA"/>
        </w:rPr>
        <w:t>рожнини рота цих дітей.</w:t>
      </w:r>
    </w:p>
    <w:p w:rsidR="00E762E1" w:rsidRDefault="00E762E1" w:rsidP="00DB00DB">
      <w:pPr>
        <w:pStyle w:val="12"/>
        <w:spacing w:before="0" w:after="0" w:line="360" w:lineRule="auto"/>
        <w:ind w:firstLine="720"/>
        <w:jc w:val="both"/>
        <w:rPr>
          <w:rStyle w:val="100"/>
          <w:sz w:val="28"/>
          <w:szCs w:val="28"/>
          <w:lang w:val="uk-UA"/>
        </w:rPr>
      </w:pPr>
      <w:r w:rsidRPr="00E762E1">
        <w:rPr>
          <w:rStyle w:val="100"/>
          <w:sz w:val="28"/>
          <w:szCs w:val="28"/>
          <w:lang w:val="uk-UA"/>
        </w:rPr>
        <w:lastRenderedPageBreak/>
        <w:t>Отримані в результаті стоматологічного обстеження та огляду дані св</w:t>
      </w:r>
      <w:r w:rsidRPr="00E762E1">
        <w:rPr>
          <w:rStyle w:val="100"/>
          <w:sz w:val="28"/>
          <w:szCs w:val="28"/>
          <w:lang w:val="uk-UA"/>
        </w:rPr>
        <w:t>і</w:t>
      </w:r>
      <w:r w:rsidRPr="00E762E1">
        <w:rPr>
          <w:rStyle w:val="100"/>
          <w:sz w:val="28"/>
          <w:szCs w:val="28"/>
          <w:lang w:val="uk-UA"/>
        </w:rPr>
        <w:t>дчать про необхідність проведення профілактичних заходів, спрямованих на покращ</w:t>
      </w:r>
      <w:r w:rsidR="00F17221">
        <w:rPr>
          <w:rStyle w:val="100"/>
          <w:sz w:val="28"/>
          <w:szCs w:val="28"/>
          <w:lang w:val="uk-UA"/>
        </w:rPr>
        <w:t>е</w:t>
      </w:r>
      <w:r w:rsidRPr="00E762E1">
        <w:rPr>
          <w:rStyle w:val="100"/>
          <w:sz w:val="28"/>
          <w:szCs w:val="28"/>
          <w:lang w:val="uk-UA"/>
        </w:rPr>
        <w:t>ння гігієни порожнини рота, зниження розповсюдженості та інте</w:t>
      </w:r>
      <w:r w:rsidRPr="00E762E1">
        <w:rPr>
          <w:rStyle w:val="100"/>
          <w:sz w:val="28"/>
          <w:szCs w:val="28"/>
          <w:lang w:val="uk-UA"/>
        </w:rPr>
        <w:t>н</w:t>
      </w:r>
      <w:r w:rsidRPr="00E762E1">
        <w:rPr>
          <w:rStyle w:val="100"/>
          <w:sz w:val="28"/>
          <w:szCs w:val="28"/>
          <w:lang w:val="uk-UA"/>
        </w:rPr>
        <w:t xml:space="preserve">сивності карієсу зубів, захворювань пародонту </w:t>
      </w:r>
      <w:r w:rsidR="00A208CB">
        <w:rPr>
          <w:rStyle w:val="100"/>
          <w:sz w:val="28"/>
          <w:szCs w:val="28"/>
          <w:lang w:val="uk-UA"/>
        </w:rPr>
        <w:t>в</w:t>
      </w:r>
      <w:r w:rsidRPr="00E762E1">
        <w:rPr>
          <w:rStyle w:val="100"/>
          <w:sz w:val="28"/>
          <w:szCs w:val="28"/>
          <w:lang w:val="uk-UA"/>
        </w:rPr>
        <w:t xml:space="preserve"> </w:t>
      </w:r>
      <w:r w:rsidR="00A208CB">
        <w:rPr>
          <w:rStyle w:val="100"/>
          <w:sz w:val="28"/>
          <w:szCs w:val="28"/>
          <w:lang w:val="uk-UA"/>
        </w:rPr>
        <w:t>у</w:t>
      </w:r>
      <w:r w:rsidRPr="00E762E1">
        <w:rPr>
          <w:rStyle w:val="100"/>
          <w:sz w:val="28"/>
          <w:szCs w:val="28"/>
          <w:lang w:val="uk-UA"/>
        </w:rPr>
        <w:t>сіх вікових групах дітей з гострим лімфобластним лейкозом.</w:t>
      </w:r>
    </w:p>
    <w:p w:rsidR="000E02F0" w:rsidRPr="0077206E" w:rsidRDefault="000E02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06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D13E5" w:rsidRPr="008C403C" w:rsidRDefault="00E762E1" w:rsidP="007A7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E1">
        <w:rPr>
          <w:rFonts w:ascii="Times New Roman" w:hAnsi="Times New Roman" w:cs="Times New Roman"/>
          <w:b/>
          <w:sz w:val="28"/>
          <w:szCs w:val="28"/>
        </w:rPr>
        <w:lastRenderedPageBreak/>
        <w:t>РОЗДІЛ 4</w:t>
      </w:r>
      <w:r w:rsidRPr="00E762E1">
        <w:rPr>
          <w:rFonts w:ascii="Times New Roman" w:hAnsi="Times New Roman" w:cs="Times New Roman"/>
          <w:b/>
          <w:sz w:val="28"/>
          <w:szCs w:val="28"/>
        </w:rPr>
        <w:br/>
        <w:t>СТАН МІКРОБІОЦЕНОЗУ ТА МІСЦЕВОГО ІМУНІТЕТУ</w:t>
      </w:r>
      <w:r w:rsidR="00662C4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61F79">
        <w:rPr>
          <w:rFonts w:ascii="Times New Roman" w:hAnsi="Times New Roman" w:cs="Times New Roman"/>
          <w:b/>
          <w:sz w:val="28"/>
          <w:szCs w:val="28"/>
        </w:rPr>
        <w:t>В</w:t>
      </w:r>
      <w:r w:rsidRPr="00E762E1">
        <w:rPr>
          <w:rFonts w:ascii="Times New Roman" w:hAnsi="Times New Roman" w:cs="Times New Roman"/>
          <w:b/>
          <w:sz w:val="28"/>
          <w:szCs w:val="28"/>
        </w:rPr>
        <w:t xml:space="preserve"> ПОРОЖНИНІ РОТА </w:t>
      </w:r>
      <w:r w:rsidR="00E61F79">
        <w:rPr>
          <w:rFonts w:ascii="Times New Roman" w:hAnsi="Times New Roman" w:cs="Times New Roman"/>
          <w:b/>
          <w:sz w:val="28"/>
          <w:szCs w:val="28"/>
        </w:rPr>
        <w:t>В</w:t>
      </w:r>
      <w:r w:rsidRPr="00E762E1">
        <w:rPr>
          <w:rFonts w:ascii="Times New Roman" w:hAnsi="Times New Roman" w:cs="Times New Roman"/>
          <w:b/>
          <w:sz w:val="28"/>
          <w:szCs w:val="28"/>
        </w:rPr>
        <w:t xml:space="preserve"> ДІТЕЙ </w:t>
      </w:r>
      <w:r w:rsidR="0013556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762E1">
        <w:rPr>
          <w:rFonts w:ascii="Times New Roman" w:hAnsi="Times New Roman" w:cs="Times New Roman"/>
          <w:b/>
          <w:sz w:val="28"/>
          <w:szCs w:val="28"/>
        </w:rPr>
        <w:t>З ГОСТРИМ ЛІМФОБЛАСТНИМ ЛЕЙКОЗОМ</w:t>
      </w:r>
    </w:p>
    <w:p w:rsidR="00662C48" w:rsidRDefault="00E61F79" w:rsidP="003D13E5">
      <w:pPr>
        <w:pStyle w:val="12"/>
        <w:shd w:val="clear" w:color="auto" w:fill="auto"/>
        <w:spacing w:before="0" w:after="0" w:line="360" w:lineRule="auto"/>
        <w:ind w:firstLine="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 зв’язку </w:t>
      </w:r>
      <w:r w:rsidR="00662C48" w:rsidRPr="00662C4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</w:t>
      </w:r>
      <w:r w:rsidR="00662C48" w:rsidRPr="00662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62C48" w:rsidRPr="00662C48">
        <w:rPr>
          <w:sz w:val="28"/>
          <w:szCs w:val="28"/>
          <w:lang w:val="uk-UA"/>
        </w:rPr>
        <w:t>зростаючою знач</w:t>
      </w:r>
      <w:r>
        <w:rPr>
          <w:sz w:val="28"/>
          <w:szCs w:val="28"/>
          <w:lang w:val="uk-UA"/>
        </w:rPr>
        <w:t>ущі</w:t>
      </w:r>
      <w:r w:rsidR="00662C48" w:rsidRPr="00662C48">
        <w:rPr>
          <w:sz w:val="28"/>
          <w:szCs w:val="28"/>
          <w:lang w:val="uk-UA"/>
        </w:rPr>
        <w:t xml:space="preserve">стю мікробної екології людини </w:t>
      </w:r>
      <w:r>
        <w:rPr>
          <w:sz w:val="28"/>
          <w:szCs w:val="28"/>
          <w:lang w:val="uk-UA"/>
        </w:rPr>
        <w:t xml:space="preserve"> в</w:t>
      </w:r>
      <w:r w:rsidR="00662C48" w:rsidRPr="00662C48">
        <w:rPr>
          <w:sz w:val="28"/>
          <w:szCs w:val="28"/>
          <w:lang w:val="uk-UA"/>
        </w:rPr>
        <w:t xml:space="preserve"> пі</w:t>
      </w:r>
      <w:r w:rsidR="00662C48" w:rsidRPr="00662C48">
        <w:rPr>
          <w:sz w:val="28"/>
          <w:szCs w:val="28"/>
          <w:lang w:val="uk-UA"/>
        </w:rPr>
        <w:t>д</w:t>
      </w:r>
      <w:r w:rsidR="00662C48" w:rsidRPr="00662C48">
        <w:rPr>
          <w:sz w:val="28"/>
          <w:szCs w:val="28"/>
          <w:lang w:val="uk-UA"/>
        </w:rPr>
        <w:t>триманні його гомеостазу суттєвого значення набуває вивчення стану мікр</w:t>
      </w:r>
      <w:r w:rsidR="00662C48" w:rsidRPr="00662C48">
        <w:rPr>
          <w:sz w:val="28"/>
          <w:szCs w:val="28"/>
          <w:lang w:val="uk-UA"/>
        </w:rPr>
        <w:t>о</w:t>
      </w:r>
      <w:r w:rsidR="00662C48" w:rsidRPr="00662C48">
        <w:rPr>
          <w:sz w:val="28"/>
          <w:szCs w:val="28"/>
          <w:lang w:val="uk-UA"/>
        </w:rPr>
        <w:t xml:space="preserve">біоценозу слизової оболонки порожнини рота. </w:t>
      </w:r>
      <w:r w:rsidR="00662C48" w:rsidRPr="00662C48">
        <w:rPr>
          <w:sz w:val="28"/>
          <w:szCs w:val="28"/>
        </w:rPr>
        <w:t>Велика роль у регуляції мікр</w:t>
      </w:r>
      <w:r w:rsidR="00662C48" w:rsidRPr="00662C48">
        <w:rPr>
          <w:sz w:val="28"/>
          <w:szCs w:val="28"/>
        </w:rPr>
        <w:t>о</w:t>
      </w:r>
      <w:r w:rsidR="00662C48" w:rsidRPr="00662C48">
        <w:rPr>
          <w:sz w:val="28"/>
          <w:szCs w:val="28"/>
        </w:rPr>
        <w:t>екологічних систем належить нормальній мікрофлорі, яка служить чутливим індикатором здоров’я, змінюючись при різних захворюваннях [241,</w:t>
      </w:r>
      <w:r w:rsidR="004A6577">
        <w:rPr>
          <w:sz w:val="28"/>
          <w:szCs w:val="28"/>
          <w:lang w:val="uk-UA"/>
        </w:rPr>
        <w:t xml:space="preserve"> </w:t>
      </w:r>
      <w:r w:rsidR="00662C48" w:rsidRPr="00662C48">
        <w:rPr>
          <w:sz w:val="28"/>
          <w:szCs w:val="28"/>
        </w:rPr>
        <w:t>242,</w:t>
      </w:r>
      <w:r w:rsidR="004A6577">
        <w:rPr>
          <w:sz w:val="28"/>
          <w:szCs w:val="28"/>
          <w:lang w:val="uk-UA"/>
        </w:rPr>
        <w:t xml:space="preserve"> </w:t>
      </w:r>
      <w:r w:rsidR="00662C48" w:rsidRPr="00662C48">
        <w:rPr>
          <w:sz w:val="28"/>
          <w:szCs w:val="28"/>
        </w:rPr>
        <w:t>243]. Мікрофлора порожнини рота розселена у декількох біотопах – нішах рот</w:t>
      </w:r>
      <w:r w:rsidR="00662C48" w:rsidRPr="00662C48">
        <w:rPr>
          <w:sz w:val="28"/>
          <w:szCs w:val="28"/>
        </w:rPr>
        <w:t>о</w:t>
      </w:r>
      <w:r w:rsidR="00662C48" w:rsidRPr="00662C48">
        <w:rPr>
          <w:sz w:val="28"/>
          <w:szCs w:val="28"/>
        </w:rPr>
        <w:t>глотки з однотипними умовами середовища, зайнятих певним біоценозом.</w:t>
      </w:r>
    </w:p>
    <w:p w:rsidR="00662C48" w:rsidRDefault="00662C48" w:rsidP="003D13E5">
      <w:pPr>
        <w:pStyle w:val="12"/>
        <w:shd w:val="clear" w:color="auto" w:fill="auto"/>
        <w:spacing w:before="0" w:after="0" w:line="360" w:lineRule="auto"/>
        <w:ind w:firstLine="620"/>
        <w:jc w:val="both"/>
        <w:rPr>
          <w:sz w:val="28"/>
          <w:szCs w:val="28"/>
          <w:lang w:val="uk-UA"/>
        </w:rPr>
      </w:pPr>
      <w:r w:rsidRPr="00662C48">
        <w:rPr>
          <w:sz w:val="28"/>
          <w:szCs w:val="28"/>
          <w:lang w:val="uk-UA"/>
        </w:rPr>
        <w:t>Першим біотопом є слизова оболонка, яка через свою обширність має найбільш варіабельний склад мікрофлори: грамнегативна анаеробна флора та стрептококи на поверхні, облігатні анаероби у під</w:t>
      </w:r>
      <w:r w:rsidR="004A6577" w:rsidRPr="004A6577">
        <w:rPr>
          <w:sz w:val="28"/>
          <w:szCs w:val="28"/>
          <w:lang w:val="uk-UA"/>
        </w:rPr>
        <w:t>’</w:t>
      </w:r>
      <w:r w:rsidRPr="00662C48">
        <w:rPr>
          <w:sz w:val="28"/>
          <w:szCs w:val="28"/>
          <w:lang w:val="uk-UA"/>
        </w:rPr>
        <w:t>язикових складках та кр</w:t>
      </w:r>
      <w:r w:rsidRPr="00662C48">
        <w:rPr>
          <w:sz w:val="28"/>
          <w:szCs w:val="28"/>
          <w:lang w:val="uk-UA"/>
        </w:rPr>
        <w:t>и</w:t>
      </w:r>
      <w:r w:rsidRPr="00662C48">
        <w:rPr>
          <w:sz w:val="28"/>
          <w:szCs w:val="28"/>
          <w:lang w:val="uk-UA"/>
        </w:rPr>
        <w:t xml:space="preserve">птах слизової, стрептококи та коринебактерії на слизовій твердого та м’якого </w:t>
      </w:r>
      <w:r w:rsidR="00E61F79">
        <w:rPr>
          <w:sz w:val="28"/>
          <w:szCs w:val="28"/>
          <w:lang w:val="uk-UA"/>
        </w:rPr>
        <w:t>під</w:t>
      </w:r>
      <w:r w:rsidRPr="00662C48">
        <w:rPr>
          <w:sz w:val="28"/>
          <w:szCs w:val="28"/>
          <w:lang w:val="uk-UA"/>
        </w:rPr>
        <w:t>неб</w:t>
      </w:r>
      <w:r w:rsidR="00E61F79">
        <w:rPr>
          <w:sz w:val="28"/>
          <w:szCs w:val="28"/>
          <w:lang w:val="uk-UA"/>
        </w:rPr>
        <w:t>іння</w:t>
      </w:r>
      <w:r w:rsidRPr="00662C48">
        <w:rPr>
          <w:sz w:val="28"/>
          <w:szCs w:val="28"/>
          <w:lang w:val="uk-UA"/>
        </w:rPr>
        <w:t>.</w:t>
      </w:r>
    </w:p>
    <w:p w:rsidR="00662C48" w:rsidRDefault="00662C48" w:rsidP="003D13E5">
      <w:pPr>
        <w:pStyle w:val="12"/>
        <w:shd w:val="clear" w:color="auto" w:fill="auto"/>
        <w:spacing w:before="0" w:after="0" w:line="360" w:lineRule="auto"/>
        <w:ind w:firstLine="620"/>
        <w:jc w:val="both"/>
        <w:rPr>
          <w:sz w:val="28"/>
          <w:szCs w:val="28"/>
          <w:lang w:val="uk-UA"/>
        </w:rPr>
      </w:pPr>
      <w:r w:rsidRPr="00662C48">
        <w:rPr>
          <w:sz w:val="28"/>
          <w:szCs w:val="28"/>
          <w:lang w:val="uk-UA"/>
        </w:rPr>
        <w:t xml:space="preserve">У якості другого біотопу виділяють </w:t>
      </w:r>
      <w:r w:rsidR="00E61F79">
        <w:rPr>
          <w:sz w:val="28"/>
          <w:szCs w:val="28"/>
          <w:lang w:val="uk-UA"/>
        </w:rPr>
        <w:t>ясенн</w:t>
      </w:r>
      <w:r w:rsidRPr="00662C48">
        <w:rPr>
          <w:sz w:val="28"/>
          <w:szCs w:val="28"/>
          <w:lang w:val="uk-UA"/>
        </w:rPr>
        <w:t xml:space="preserve">у </w:t>
      </w:r>
      <w:r w:rsidRPr="00C55258">
        <w:rPr>
          <w:sz w:val="28"/>
          <w:szCs w:val="28"/>
          <w:lang w:val="uk-UA"/>
        </w:rPr>
        <w:t>бороз</w:t>
      </w:r>
      <w:r w:rsidR="00E61F79">
        <w:rPr>
          <w:sz w:val="28"/>
          <w:szCs w:val="28"/>
          <w:lang w:val="uk-UA"/>
        </w:rPr>
        <w:t>н</w:t>
      </w:r>
      <w:r w:rsidRPr="00C55258">
        <w:rPr>
          <w:sz w:val="28"/>
          <w:szCs w:val="28"/>
          <w:lang w:val="uk-UA"/>
        </w:rPr>
        <w:t>у (ж</w:t>
      </w:r>
      <w:r w:rsidR="00C55258" w:rsidRPr="00C55258">
        <w:rPr>
          <w:sz w:val="28"/>
          <w:szCs w:val="28"/>
          <w:lang w:val="uk-UA"/>
        </w:rPr>
        <w:t>о</w:t>
      </w:r>
      <w:r w:rsidRPr="00C55258">
        <w:rPr>
          <w:sz w:val="28"/>
          <w:szCs w:val="28"/>
          <w:lang w:val="uk-UA"/>
        </w:rPr>
        <w:t>лобок)</w:t>
      </w:r>
      <w:r w:rsidRPr="00662C48">
        <w:rPr>
          <w:sz w:val="28"/>
          <w:szCs w:val="28"/>
          <w:lang w:val="uk-UA"/>
        </w:rPr>
        <w:t xml:space="preserve"> та рід</w:t>
      </w:r>
      <w:r w:rsidRPr="00662C48">
        <w:rPr>
          <w:sz w:val="28"/>
          <w:szCs w:val="28"/>
          <w:lang w:val="uk-UA"/>
        </w:rPr>
        <w:t>и</w:t>
      </w:r>
      <w:r w:rsidRPr="00662C48">
        <w:rPr>
          <w:sz w:val="28"/>
          <w:szCs w:val="28"/>
          <w:lang w:val="uk-UA"/>
        </w:rPr>
        <w:t xml:space="preserve">ну, що там знаходиться, у якій </w:t>
      </w:r>
      <w:r w:rsidR="00A11842">
        <w:rPr>
          <w:sz w:val="28"/>
          <w:szCs w:val="28"/>
          <w:lang w:val="uk-UA"/>
        </w:rPr>
        <w:t>наяв</w:t>
      </w:r>
      <w:r w:rsidRPr="00662C48">
        <w:rPr>
          <w:sz w:val="28"/>
          <w:szCs w:val="28"/>
          <w:lang w:val="uk-UA"/>
        </w:rPr>
        <w:t>ні бактероїди, порфіромонади, превотел</w:t>
      </w:r>
      <w:r w:rsidR="00343F36">
        <w:rPr>
          <w:sz w:val="28"/>
          <w:szCs w:val="28"/>
          <w:lang w:val="uk-UA"/>
        </w:rPr>
        <w:t>л</w:t>
      </w:r>
      <w:r w:rsidRPr="00662C48">
        <w:rPr>
          <w:sz w:val="28"/>
          <w:szCs w:val="28"/>
          <w:lang w:val="uk-UA"/>
        </w:rPr>
        <w:t xml:space="preserve">а інтермедіа, </w:t>
      </w:r>
      <w:r w:rsidRPr="00504B03">
        <w:rPr>
          <w:sz w:val="28"/>
          <w:szCs w:val="28"/>
          <w:lang w:val="uk-UA"/>
        </w:rPr>
        <w:t>акт</w:t>
      </w:r>
      <w:r w:rsidR="00A11842">
        <w:rPr>
          <w:sz w:val="28"/>
          <w:szCs w:val="28"/>
          <w:lang w:val="uk-UA"/>
        </w:rPr>
        <w:t>и</w:t>
      </w:r>
      <w:r w:rsidRPr="00504B03">
        <w:rPr>
          <w:sz w:val="28"/>
          <w:szCs w:val="28"/>
          <w:lang w:val="uk-UA"/>
        </w:rPr>
        <w:t>нобац</w:t>
      </w:r>
      <w:r w:rsidR="000D1B86">
        <w:rPr>
          <w:sz w:val="28"/>
          <w:szCs w:val="28"/>
          <w:lang w:val="uk-UA"/>
        </w:rPr>
        <w:t>или</w:t>
      </w:r>
      <w:r w:rsidR="00343F36" w:rsidRPr="00504B03">
        <w:rPr>
          <w:sz w:val="28"/>
          <w:szCs w:val="28"/>
          <w:lang w:val="uk-UA"/>
        </w:rPr>
        <w:t xml:space="preserve"> </w:t>
      </w:r>
      <w:r w:rsidRPr="00504B03">
        <w:rPr>
          <w:sz w:val="28"/>
          <w:szCs w:val="28"/>
          <w:lang w:val="uk-UA"/>
        </w:rPr>
        <w:t>акт</w:t>
      </w:r>
      <w:r w:rsidR="00A11842">
        <w:rPr>
          <w:sz w:val="28"/>
          <w:szCs w:val="28"/>
          <w:lang w:val="uk-UA"/>
        </w:rPr>
        <w:t>и</w:t>
      </w:r>
      <w:r w:rsidRPr="00504B03">
        <w:rPr>
          <w:sz w:val="28"/>
          <w:szCs w:val="28"/>
          <w:lang w:val="uk-UA"/>
        </w:rPr>
        <w:t>номіцетемкомітанс</w:t>
      </w:r>
      <w:r w:rsidRPr="00662C48">
        <w:rPr>
          <w:sz w:val="28"/>
          <w:szCs w:val="28"/>
          <w:lang w:val="uk-UA"/>
        </w:rPr>
        <w:t>, дріжджоподібні гриби, мікоплазми, а також нейсерії та інші.</w:t>
      </w:r>
    </w:p>
    <w:p w:rsidR="00662C48" w:rsidRDefault="00662C48" w:rsidP="003D13E5">
      <w:pPr>
        <w:pStyle w:val="12"/>
        <w:shd w:val="clear" w:color="auto" w:fill="auto"/>
        <w:spacing w:before="0" w:after="0" w:line="360" w:lineRule="auto"/>
        <w:ind w:firstLine="620"/>
        <w:jc w:val="both"/>
        <w:rPr>
          <w:sz w:val="28"/>
          <w:szCs w:val="28"/>
          <w:lang w:val="uk-UA"/>
        </w:rPr>
      </w:pPr>
      <w:r w:rsidRPr="00662C48">
        <w:rPr>
          <w:sz w:val="28"/>
          <w:szCs w:val="28"/>
          <w:lang w:val="uk-UA"/>
        </w:rPr>
        <w:t xml:space="preserve">Третім біотопом є зубна бляшка – наймасивніше та найрізноманітніше бактеріальне скупчення (від 100 до 300 млн мікроорганізмів </w:t>
      </w:r>
      <w:r w:rsidR="00A11842">
        <w:rPr>
          <w:sz w:val="28"/>
          <w:szCs w:val="28"/>
          <w:lang w:val="uk-UA"/>
        </w:rPr>
        <w:t>у</w:t>
      </w:r>
      <w:r w:rsidRPr="00662C48">
        <w:rPr>
          <w:sz w:val="28"/>
          <w:szCs w:val="28"/>
          <w:lang w:val="uk-UA"/>
        </w:rPr>
        <w:t xml:space="preserve"> 1 мг), видовий склад якого представлений практично всіма мікроорганізмами з переважа</w:t>
      </w:r>
      <w:r w:rsidRPr="00662C48">
        <w:rPr>
          <w:sz w:val="28"/>
          <w:szCs w:val="28"/>
          <w:lang w:val="uk-UA"/>
        </w:rPr>
        <w:t>н</w:t>
      </w:r>
      <w:r w:rsidRPr="00662C48">
        <w:rPr>
          <w:sz w:val="28"/>
          <w:szCs w:val="28"/>
          <w:lang w:val="uk-UA"/>
        </w:rPr>
        <w:t xml:space="preserve">ням стрептококів. Ротову рідину, через яку здійснюється взаємозв’язок між всіма іншими біотопами та організмом </w:t>
      </w:r>
      <w:r w:rsidR="00A11842">
        <w:rPr>
          <w:sz w:val="28"/>
          <w:szCs w:val="28"/>
          <w:lang w:val="uk-UA"/>
        </w:rPr>
        <w:t>у</w:t>
      </w:r>
      <w:r w:rsidRPr="00662C48">
        <w:rPr>
          <w:sz w:val="28"/>
          <w:szCs w:val="28"/>
          <w:lang w:val="uk-UA"/>
        </w:rPr>
        <w:t xml:space="preserve"> цілому, відносять до четвертого бі</w:t>
      </w:r>
      <w:r w:rsidRPr="00662C48">
        <w:rPr>
          <w:sz w:val="28"/>
          <w:szCs w:val="28"/>
          <w:lang w:val="uk-UA"/>
        </w:rPr>
        <w:t>о</w:t>
      </w:r>
      <w:r w:rsidRPr="00662C48">
        <w:rPr>
          <w:sz w:val="28"/>
          <w:szCs w:val="28"/>
          <w:lang w:val="uk-UA"/>
        </w:rPr>
        <w:t>топу. У ній у значних кількостях містяться вейлонели, стрептококи (</w:t>
      </w:r>
      <w:r w:rsidRPr="00662C48">
        <w:rPr>
          <w:i/>
          <w:sz w:val="28"/>
          <w:szCs w:val="28"/>
        </w:rPr>
        <w:t>Str</w:t>
      </w:r>
      <w:r w:rsidRPr="00662C48">
        <w:rPr>
          <w:i/>
          <w:sz w:val="28"/>
          <w:szCs w:val="28"/>
          <w:lang w:val="uk-UA"/>
        </w:rPr>
        <w:t xml:space="preserve">. </w:t>
      </w:r>
      <w:r w:rsidRPr="00662C48">
        <w:rPr>
          <w:i/>
          <w:sz w:val="28"/>
          <w:szCs w:val="28"/>
        </w:rPr>
        <w:t>salivarius</w:t>
      </w:r>
      <w:r w:rsidRPr="00662C48">
        <w:rPr>
          <w:i/>
          <w:sz w:val="28"/>
          <w:szCs w:val="28"/>
          <w:lang w:val="uk-UA"/>
        </w:rPr>
        <w:t xml:space="preserve">, </w:t>
      </w:r>
      <w:r w:rsidRPr="00662C48">
        <w:rPr>
          <w:i/>
          <w:sz w:val="28"/>
          <w:szCs w:val="28"/>
        </w:rPr>
        <w:t>Str</w:t>
      </w:r>
      <w:r w:rsidRPr="00662C48">
        <w:rPr>
          <w:i/>
          <w:sz w:val="28"/>
          <w:szCs w:val="28"/>
          <w:lang w:val="uk-UA"/>
        </w:rPr>
        <w:t xml:space="preserve">. </w:t>
      </w:r>
      <w:r w:rsidRPr="00662C48">
        <w:rPr>
          <w:i/>
          <w:sz w:val="28"/>
          <w:szCs w:val="28"/>
        </w:rPr>
        <w:t>mutans</w:t>
      </w:r>
      <w:r w:rsidRPr="00662C48">
        <w:rPr>
          <w:i/>
          <w:sz w:val="28"/>
          <w:szCs w:val="28"/>
          <w:lang w:val="uk-UA"/>
        </w:rPr>
        <w:t xml:space="preserve">, </w:t>
      </w:r>
      <w:r w:rsidRPr="00662C48">
        <w:rPr>
          <w:i/>
          <w:sz w:val="28"/>
          <w:szCs w:val="28"/>
        </w:rPr>
        <w:t>Str</w:t>
      </w:r>
      <w:r w:rsidRPr="00662C48">
        <w:rPr>
          <w:i/>
          <w:sz w:val="28"/>
          <w:szCs w:val="28"/>
          <w:lang w:val="uk-UA"/>
        </w:rPr>
        <w:t xml:space="preserve">. </w:t>
      </w:r>
      <w:r w:rsidRPr="00662C48">
        <w:rPr>
          <w:i/>
          <w:sz w:val="28"/>
          <w:szCs w:val="28"/>
        </w:rPr>
        <w:t>mitis</w:t>
      </w:r>
      <w:r w:rsidRPr="00662C48">
        <w:rPr>
          <w:sz w:val="28"/>
          <w:szCs w:val="28"/>
          <w:lang w:val="uk-UA"/>
        </w:rPr>
        <w:t>), акт</w:t>
      </w:r>
      <w:r w:rsidR="00822FEC">
        <w:rPr>
          <w:sz w:val="28"/>
          <w:szCs w:val="28"/>
          <w:lang w:val="uk-UA"/>
        </w:rPr>
        <w:t>и</w:t>
      </w:r>
      <w:r w:rsidRPr="00662C48">
        <w:rPr>
          <w:sz w:val="28"/>
          <w:szCs w:val="28"/>
          <w:lang w:val="uk-UA"/>
        </w:rPr>
        <w:t>номіцети, бактероїди, ниткоподібні ба</w:t>
      </w:r>
      <w:r w:rsidRPr="00662C48">
        <w:rPr>
          <w:sz w:val="28"/>
          <w:szCs w:val="28"/>
          <w:lang w:val="uk-UA"/>
        </w:rPr>
        <w:t>к</w:t>
      </w:r>
      <w:r w:rsidRPr="00662C48">
        <w:rPr>
          <w:sz w:val="28"/>
          <w:szCs w:val="28"/>
          <w:lang w:val="uk-UA"/>
        </w:rPr>
        <w:t>терії.</w:t>
      </w:r>
    </w:p>
    <w:p w:rsidR="00662C48" w:rsidRDefault="00662C48" w:rsidP="003D13E5">
      <w:pPr>
        <w:pStyle w:val="12"/>
        <w:shd w:val="clear" w:color="auto" w:fill="auto"/>
        <w:spacing w:before="0" w:after="0" w:line="360" w:lineRule="auto"/>
        <w:ind w:firstLine="620"/>
        <w:jc w:val="both"/>
        <w:rPr>
          <w:sz w:val="28"/>
          <w:szCs w:val="28"/>
          <w:lang w:val="uk-UA"/>
        </w:rPr>
      </w:pPr>
      <w:r w:rsidRPr="00662C48">
        <w:rPr>
          <w:sz w:val="28"/>
          <w:szCs w:val="28"/>
        </w:rPr>
        <w:t xml:space="preserve">При загальносоматичних захворюваннях відбуваються зміни, як у якісному, так і </w:t>
      </w:r>
      <w:r w:rsidR="000D1B86">
        <w:rPr>
          <w:sz w:val="28"/>
          <w:szCs w:val="28"/>
          <w:lang w:val="uk-UA"/>
        </w:rPr>
        <w:t>в</w:t>
      </w:r>
      <w:r w:rsidRPr="00662C48">
        <w:rPr>
          <w:sz w:val="28"/>
          <w:szCs w:val="28"/>
        </w:rPr>
        <w:t xml:space="preserve"> кількісному складі мікрофлори [244].</w:t>
      </w:r>
    </w:p>
    <w:p w:rsidR="00662C48" w:rsidRDefault="00662C48" w:rsidP="003D13E5">
      <w:pPr>
        <w:pStyle w:val="12"/>
        <w:shd w:val="clear" w:color="auto" w:fill="auto"/>
        <w:spacing w:before="0" w:after="0" w:line="360" w:lineRule="auto"/>
        <w:ind w:firstLine="620"/>
        <w:jc w:val="both"/>
        <w:rPr>
          <w:sz w:val="28"/>
          <w:szCs w:val="28"/>
          <w:lang w:val="uk-UA"/>
        </w:rPr>
      </w:pPr>
      <w:r w:rsidRPr="00662C48">
        <w:rPr>
          <w:sz w:val="28"/>
          <w:szCs w:val="28"/>
        </w:rPr>
        <w:lastRenderedPageBreak/>
        <w:t>Таким чином, мікробіоценоз порожнини рота – багатокомпонентна с</w:t>
      </w:r>
      <w:r w:rsidRPr="00662C48">
        <w:rPr>
          <w:sz w:val="28"/>
          <w:szCs w:val="28"/>
        </w:rPr>
        <w:t>и</w:t>
      </w:r>
      <w:r w:rsidRPr="00662C48">
        <w:rPr>
          <w:sz w:val="28"/>
          <w:szCs w:val="28"/>
        </w:rPr>
        <w:t xml:space="preserve">стема, характер складових якої має специфічні особливості при розвитку </w:t>
      </w:r>
      <w:r w:rsidR="00A31EEC" w:rsidRPr="00F14C2D">
        <w:rPr>
          <w:sz w:val="28"/>
          <w:szCs w:val="28"/>
          <w:lang w:val="uk-UA"/>
        </w:rPr>
        <w:t>сто</w:t>
      </w:r>
      <w:r w:rsidRPr="00F14C2D">
        <w:rPr>
          <w:sz w:val="28"/>
          <w:szCs w:val="28"/>
        </w:rPr>
        <w:t>матологічних процесів</w:t>
      </w:r>
      <w:r w:rsidRPr="00662C48">
        <w:rPr>
          <w:sz w:val="28"/>
          <w:szCs w:val="28"/>
        </w:rPr>
        <w:t xml:space="preserve"> [245].</w:t>
      </w:r>
    </w:p>
    <w:p w:rsidR="00662C48" w:rsidRDefault="00A11842" w:rsidP="003D13E5">
      <w:pPr>
        <w:pStyle w:val="12"/>
        <w:shd w:val="clear" w:color="auto" w:fill="auto"/>
        <w:spacing w:before="0" w:after="0" w:line="360" w:lineRule="auto"/>
        <w:ind w:firstLine="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662C48" w:rsidRPr="00662C48">
        <w:rPr>
          <w:sz w:val="28"/>
          <w:szCs w:val="28"/>
        </w:rPr>
        <w:t xml:space="preserve"> результаті зниження загального та місцевого імунітету при онкогем</w:t>
      </w:r>
      <w:r w:rsidR="00662C48" w:rsidRPr="00662C48">
        <w:rPr>
          <w:sz w:val="28"/>
          <w:szCs w:val="28"/>
        </w:rPr>
        <w:t>а</w:t>
      </w:r>
      <w:r w:rsidR="00662C48" w:rsidRPr="00662C48">
        <w:rPr>
          <w:sz w:val="28"/>
          <w:szCs w:val="28"/>
        </w:rPr>
        <w:t>тологічних захворюваннях мікрофлора порожнини рота також зазнає кр</w:t>
      </w:r>
      <w:r w:rsidR="00662C48" w:rsidRPr="00662C48">
        <w:rPr>
          <w:sz w:val="28"/>
          <w:szCs w:val="28"/>
        </w:rPr>
        <w:t>и</w:t>
      </w:r>
      <w:r w:rsidR="00662C48" w:rsidRPr="00662C48">
        <w:rPr>
          <w:sz w:val="28"/>
          <w:szCs w:val="28"/>
        </w:rPr>
        <w:t>тичних змін. Сучасні інтенсивні протипухлинні протоколи різко знизили смертність дітей від онкологічних захворювань з досягненням можливості виживання до 80% з них. Однак</w:t>
      </w:r>
      <w:r>
        <w:rPr>
          <w:sz w:val="28"/>
          <w:szCs w:val="28"/>
          <w:lang w:val="uk-UA"/>
        </w:rPr>
        <w:t>,</w:t>
      </w:r>
      <w:r w:rsidR="00662C48" w:rsidRPr="00662C48">
        <w:rPr>
          <w:sz w:val="28"/>
          <w:szCs w:val="28"/>
        </w:rPr>
        <w:t xml:space="preserve"> паралельно з успіхами онкопедіатрії збіл</w:t>
      </w:r>
      <w:r w:rsidR="00662C48" w:rsidRPr="00662C48">
        <w:rPr>
          <w:sz w:val="28"/>
          <w:szCs w:val="28"/>
        </w:rPr>
        <w:t>ь</w:t>
      </w:r>
      <w:r w:rsidR="00662C48" w:rsidRPr="00662C48">
        <w:rPr>
          <w:sz w:val="28"/>
          <w:szCs w:val="28"/>
        </w:rPr>
        <w:t>шується небезпека пізніх ефектів лікування [246].</w:t>
      </w:r>
    </w:p>
    <w:p w:rsidR="00662C48" w:rsidRDefault="00662C48" w:rsidP="003D13E5">
      <w:pPr>
        <w:pStyle w:val="12"/>
        <w:shd w:val="clear" w:color="auto" w:fill="auto"/>
        <w:spacing w:before="0" w:after="0" w:line="360" w:lineRule="auto"/>
        <w:ind w:firstLine="620"/>
        <w:jc w:val="both"/>
        <w:rPr>
          <w:sz w:val="28"/>
          <w:szCs w:val="28"/>
          <w:lang w:val="uk-UA"/>
        </w:rPr>
      </w:pPr>
      <w:r w:rsidRPr="00662C48">
        <w:rPr>
          <w:sz w:val="28"/>
          <w:szCs w:val="28"/>
          <w:lang w:val="uk-UA"/>
        </w:rPr>
        <w:t xml:space="preserve">Застосування цитостатичних препаратів, опромінення, імунодепресантів посилюють імунні порушення, що призводить до зміни </w:t>
      </w:r>
      <w:r w:rsidR="006F7E0A">
        <w:rPr>
          <w:sz w:val="28"/>
          <w:szCs w:val="28"/>
          <w:lang w:val="uk-UA"/>
        </w:rPr>
        <w:t>фізіологіч</w:t>
      </w:r>
      <w:r w:rsidRPr="00662C48">
        <w:rPr>
          <w:sz w:val="28"/>
          <w:szCs w:val="28"/>
          <w:lang w:val="uk-UA"/>
        </w:rPr>
        <w:t>ного мікр</w:t>
      </w:r>
      <w:r w:rsidRPr="00662C48">
        <w:rPr>
          <w:sz w:val="28"/>
          <w:szCs w:val="28"/>
          <w:lang w:val="uk-UA"/>
        </w:rPr>
        <w:t>о</w:t>
      </w:r>
      <w:r w:rsidRPr="00662C48">
        <w:rPr>
          <w:sz w:val="28"/>
          <w:szCs w:val="28"/>
          <w:lang w:val="uk-UA"/>
        </w:rPr>
        <w:t>біоценозу, порушенням колонізаційної резистентності слизових оболонок</w:t>
      </w:r>
      <w:r w:rsidR="0046652D">
        <w:rPr>
          <w:sz w:val="28"/>
          <w:szCs w:val="28"/>
          <w:lang w:val="uk-UA"/>
        </w:rPr>
        <w:t xml:space="preserve"> та формуванню ди</w:t>
      </w:r>
      <w:r w:rsidRPr="00662C48">
        <w:rPr>
          <w:sz w:val="28"/>
          <w:szCs w:val="28"/>
          <w:lang w:val="uk-UA"/>
        </w:rPr>
        <w:t>сбіотичних зсувів [247].</w:t>
      </w:r>
    </w:p>
    <w:p w:rsidR="00662C48" w:rsidRDefault="00662C48" w:rsidP="003D13E5">
      <w:pPr>
        <w:pStyle w:val="12"/>
        <w:shd w:val="clear" w:color="auto" w:fill="auto"/>
        <w:spacing w:before="0" w:after="0" w:line="360" w:lineRule="auto"/>
        <w:ind w:firstLine="620"/>
        <w:jc w:val="both"/>
        <w:rPr>
          <w:sz w:val="28"/>
          <w:szCs w:val="28"/>
          <w:lang w:val="uk-UA"/>
        </w:rPr>
      </w:pPr>
      <w:r w:rsidRPr="00662C48">
        <w:rPr>
          <w:sz w:val="28"/>
          <w:szCs w:val="28"/>
        </w:rPr>
        <w:t>На сьогодні доведений прямий зв’язок зміни мікробного пейзажу п</w:t>
      </w:r>
      <w:r w:rsidRPr="00662C48">
        <w:rPr>
          <w:sz w:val="28"/>
          <w:szCs w:val="28"/>
        </w:rPr>
        <w:t>о</w:t>
      </w:r>
      <w:r w:rsidRPr="00662C48">
        <w:rPr>
          <w:sz w:val="28"/>
          <w:szCs w:val="28"/>
        </w:rPr>
        <w:t>рожнини рота з розвитком карієсу, запальних захворювань пародонту та сл</w:t>
      </w:r>
      <w:r w:rsidRPr="00662C48">
        <w:rPr>
          <w:sz w:val="28"/>
          <w:szCs w:val="28"/>
        </w:rPr>
        <w:t>и</w:t>
      </w:r>
      <w:r w:rsidRPr="00662C48">
        <w:rPr>
          <w:sz w:val="28"/>
          <w:szCs w:val="28"/>
        </w:rPr>
        <w:t>зової оболонки порожнини рота [248]. Беруч</w:t>
      </w:r>
      <w:r w:rsidR="004A6577">
        <w:rPr>
          <w:sz w:val="28"/>
          <w:szCs w:val="28"/>
          <w:lang w:val="uk-UA"/>
        </w:rPr>
        <w:t>и</w:t>
      </w:r>
      <w:r w:rsidRPr="00662C48">
        <w:rPr>
          <w:sz w:val="28"/>
          <w:szCs w:val="28"/>
        </w:rPr>
        <w:t xml:space="preserve"> до уваги те, що імунна функція мікрофлори включає с</w:t>
      </w:r>
      <w:r w:rsidR="004A6577">
        <w:rPr>
          <w:sz w:val="28"/>
          <w:szCs w:val="28"/>
          <w:lang w:val="uk-UA"/>
        </w:rPr>
        <w:t>и</w:t>
      </w:r>
      <w:r w:rsidRPr="00662C48">
        <w:rPr>
          <w:sz w:val="28"/>
          <w:szCs w:val="28"/>
        </w:rPr>
        <w:t>нтез факторів імунного захисту – лізоцима, пропе</w:t>
      </w:r>
      <w:r w:rsidRPr="00662C48">
        <w:rPr>
          <w:sz w:val="28"/>
          <w:szCs w:val="28"/>
        </w:rPr>
        <w:t>р</w:t>
      </w:r>
      <w:r w:rsidRPr="00662C48">
        <w:rPr>
          <w:sz w:val="28"/>
          <w:szCs w:val="28"/>
        </w:rPr>
        <w:t xml:space="preserve">дина, комплемента, секреторного імуноглобуліна </w:t>
      </w:r>
      <w:r w:rsidRPr="00662C48">
        <w:rPr>
          <w:i/>
          <w:sz w:val="28"/>
          <w:szCs w:val="28"/>
        </w:rPr>
        <w:t>А (SIg A)</w:t>
      </w:r>
      <w:r w:rsidRPr="00662C48">
        <w:rPr>
          <w:sz w:val="28"/>
          <w:szCs w:val="28"/>
        </w:rPr>
        <w:t>, активацію фаг</w:t>
      </w:r>
      <w:r w:rsidRPr="00662C48">
        <w:rPr>
          <w:sz w:val="28"/>
          <w:szCs w:val="28"/>
        </w:rPr>
        <w:t>о</w:t>
      </w:r>
      <w:r w:rsidRPr="00662C48">
        <w:rPr>
          <w:sz w:val="28"/>
          <w:szCs w:val="28"/>
        </w:rPr>
        <w:t xml:space="preserve">цитоза, стимуляцію системи цитокінів та інтерферонів, верогідно, </w:t>
      </w:r>
      <w:r w:rsidR="00A256A9">
        <w:rPr>
          <w:sz w:val="28"/>
          <w:szCs w:val="28"/>
        </w:rPr>
        <w:t>дисба</w:t>
      </w:r>
      <w:r w:rsidR="00A256A9">
        <w:rPr>
          <w:sz w:val="28"/>
          <w:szCs w:val="28"/>
        </w:rPr>
        <w:t>к</w:t>
      </w:r>
      <w:r w:rsidR="00A256A9">
        <w:rPr>
          <w:sz w:val="28"/>
          <w:szCs w:val="28"/>
        </w:rPr>
        <w:t xml:space="preserve">теріоз </w:t>
      </w:r>
      <w:r w:rsidRPr="00662C48">
        <w:rPr>
          <w:sz w:val="28"/>
          <w:szCs w:val="28"/>
        </w:rPr>
        <w:t xml:space="preserve"> порожнини рота веде за собою зниження загальної резистентності.</w:t>
      </w:r>
    </w:p>
    <w:p w:rsidR="00662C48" w:rsidRPr="00662C48" w:rsidRDefault="00662C48" w:rsidP="003D13E5">
      <w:pPr>
        <w:pStyle w:val="12"/>
        <w:shd w:val="clear" w:color="auto" w:fill="auto"/>
        <w:spacing w:before="0" w:after="0" w:line="360" w:lineRule="auto"/>
        <w:ind w:firstLine="620"/>
        <w:jc w:val="both"/>
        <w:rPr>
          <w:sz w:val="28"/>
          <w:szCs w:val="28"/>
          <w:lang w:val="uk-UA"/>
        </w:rPr>
      </w:pPr>
      <w:r w:rsidRPr="00662C48">
        <w:rPr>
          <w:sz w:val="28"/>
          <w:szCs w:val="28"/>
        </w:rPr>
        <w:t xml:space="preserve">Враховуючи те, що до сьогодні відсутні дослідження стану мікрофлори та місцевого імунітету порожнини рота </w:t>
      </w:r>
      <w:r w:rsidR="00A11842">
        <w:rPr>
          <w:sz w:val="28"/>
          <w:szCs w:val="28"/>
          <w:lang w:val="uk-UA"/>
        </w:rPr>
        <w:t>в</w:t>
      </w:r>
      <w:r w:rsidRPr="00662C48">
        <w:rPr>
          <w:sz w:val="28"/>
          <w:szCs w:val="28"/>
        </w:rPr>
        <w:t xml:space="preserve"> дітей з гемобластозами, цей наук</w:t>
      </w:r>
      <w:r w:rsidRPr="00662C48">
        <w:rPr>
          <w:sz w:val="28"/>
          <w:szCs w:val="28"/>
        </w:rPr>
        <w:t>о</w:t>
      </w:r>
      <w:r w:rsidRPr="00662C48">
        <w:rPr>
          <w:sz w:val="28"/>
          <w:szCs w:val="28"/>
        </w:rPr>
        <w:t>вий напрямок можна вважати актуальним та перспективним [249].</w:t>
      </w:r>
    </w:p>
    <w:p w:rsidR="003D13E5" w:rsidRPr="00966737" w:rsidRDefault="003D13E5" w:rsidP="003D1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 w:rsidR="00D726C2" w:rsidRDefault="00D726C2" w:rsidP="003D1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 w:cs="Times"/>
          <w:sz w:val="28"/>
          <w:szCs w:val="28"/>
          <w:lang w:val="uk-UA"/>
        </w:rPr>
      </w:pPr>
    </w:p>
    <w:p w:rsidR="00A20889" w:rsidRDefault="00A20889" w:rsidP="003D1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 w:cs="Times"/>
          <w:sz w:val="28"/>
          <w:szCs w:val="28"/>
          <w:lang w:val="uk-UA"/>
        </w:rPr>
      </w:pPr>
    </w:p>
    <w:p w:rsidR="00A20889" w:rsidRPr="00A20889" w:rsidRDefault="00A20889" w:rsidP="003D1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 w:cs="Times"/>
          <w:sz w:val="28"/>
          <w:szCs w:val="28"/>
          <w:lang w:val="uk-UA"/>
        </w:rPr>
      </w:pPr>
    </w:p>
    <w:p w:rsidR="003D13E5" w:rsidRPr="00966737" w:rsidRDefault="003D13E5" w:rsidP="003D1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37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183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мікробіоценозу </w:t>
      </w:r>
      <w:r w:rsidR="004F059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83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порожнині рота </w:t>
      </w:r>
      <w:r w:rsidR="004F059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83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здорових дітей та д</w:t>
      </w:r>
      <w:r w:rsidR="00183C6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83C64">
        <w:rPr>
          <w:rFonts w:ascii="Times New Roman" w:hAnsi="Times New Roman" w:cs="Times New Roman"/>
          <w:b/>
          <w:sz w:val="28"/>
          <w:szCs w:val="28"/>
          <w:lang w:val="uk-UA"/>
        </w:rPr>
        <w:t>тей, що страждають</w:t>
      </w:r>
      <w:r w:rsidR="004F05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183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гостри</w:t>
      </w:r>
      <w:r w:rsidR="004F05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  </w:t>
      </w:r>
      <w:r w:rsidR="00183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лімфобластни</w:t>
      </w:r>
      <w:r w:rsidR="004F0591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183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лейкоз</w:t>
      </w:r>
      <w:r w:rsidRPr="00966737">
        <w:rPr>
          <w:rFonts w:ascii="Times New Roman" w:hAnsi="Times New Roman" w:cs="Times New Roman"/>
          <w:b/>
          <w:sz w:val="28"/>
          <w:szCs w:val="28"/>
        </w:rPr>
        <w:t>.</w:t>
      </w:r>
    </w:p>
    <w:p w:rsidR="003D13E5" w:rsidRPr="00966737" w:rsidRDefault="00183C64" w:rsidP="003D1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встановлення особливостей мікробіоценозу порожнини рота </w:t>
      </w:r>
      <w:r w:rsidR="000D1B8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тей з гострим лімфобластним лейкозом на першому етапі роботи нами були визначені (як референтний показник оцінки рівня здоров</w:t>
      </w:r>
      <w:r w:rsidR="004A6577" w:rsidRPr="004A657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я) характер мікр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біоценозу (спектр, частота виникнення та кількість мікроорганізмів) у пра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тично здорових дітей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</w:p>
    <w:p w:rsidR="003D13E5" w:rsidRPr="00183C64" w:rsidRDefault="00183C64" w:rsidP="003D1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стану мікробіоценозу порожнини рота оцінювали </w:t>
      </w:r>
      <w:r w:rsidR="004F059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за даними, що були отримані з основних біотопів порожнини рота: </w:t>
      </w:r>
      <w:r w:rsidRPr="00601092">
        <w:rPr>
          <w:rFonts w:ascii="Times New Roman" w:hAnsi="Times New Roman" w:cs="Times New Roman"/>
          <w:sz w:val="28"/>
          <w:szCs w:val="28"/>
          <w:lang w:val="uk-UA"/>
        </w:rPr>
        <w:t>вміст зубо</w:t>
      </w:r>
      <w:r w:rsidRPr="0060109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1092">
        <w:rPr>
          <w:rFonts w:ascii="Times New Roman" w:hAnsi="Times New Roman" w:cs="Times New Roman"/>
          <w:sz w:val="28"/>
          <w:szCs w:val="28"/>
          <w:lang w:val="uk-UA"/>
        </w:rPr>
        <w:t>сенного ж</w:t>
      </w:r>
      <w:r w:rsidR="00601092" w:rsidRPr="006010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01092">
        <w:rPr>
          <w:rFonts w:ascii="Times New Roman" w:hAnsi="Times New Roman" w:cs="Times New Roman"/>
          <w:sz w:val="28"/>
          <w:szCs w:val="28"/>
          <w:lang w:val="uk-UA"/>
        </w:rPr>
        <w:t>лобка,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зубний наліт з вестибулярної поверхні нижніх молярів,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 рідина. Структура біоценозу ротової рідини практично здорових дітей є достатньо стабільною як у якісному, так і </w:t>
      </w:r>
      <w:r w:rsidR="004F059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кількісному відношенні, мікроо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ганізми представлені 4-ма основними родами: стрептококи, нейсерії, лакт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бацили, стафілококи</w:t>
      </w:r>
      <w:r w:rsidR="003D13E5" w:rsidRPr="00183C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3E5" w:rsidRPr="00B05C2E" w:rsidRDefault="00183C64" w:rsidP="003D1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обстеження дітей з ГЛЛ у перший гострий період б</w:t>
      </w:r>
      <w:r w:rsidR="00B05C2E">
        <w:rPr>
          <w:rFonts w:ascii="Times New Roman" w:hAnsi="Times New Roman" w:cs="Times New Roman"/>
          <w:sz w:val="28"/>
          <w:szCs w:val="28"/>
          <w:lang w:val="uk-UA"/>
        </w:rPr>
        <w:t>ув виявл</w:t>
      </w:r>
      <w:r w:rsidR="00B05C2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05C2E">
        <w:rPr>
          <w:rFonts w:ascii="Times New Roman" w:hAnsi="Times New Roman" w:cs="Times New Roman"/>
          <w:sz w:val="28"/>
          <w:szCs w:val="28"/>
          <w:lang w:val="uk-UA"/>
        </w:rPr>
        <w:t>ний полімікробний характер ротової рідини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  <w:r w:rsidR="00B05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9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05C2E">
        <w:rPr>
          <w:rFonts w:ascii="Times New Roman" w:hAnsi="Times New Roman" w:cs="Times New Roman"/>
          <w:sz w:val="28"/>
          <w:szCs w:val="28"/>
          <w:lang w:val="uk-UA"/>
        </w:rPr>
        <w:t xml:space="preserve"> обстеженому матеріалі одн</w:t>
      </w:r>
      <w:r w:rsidR="001815D0">
        <w:rPr>
          <w:rFonts w:ascii="Times New Roman" w:hAnsi="Times New Roman" w:cs="Times New Roman"/>
          <w:sz w:val="28"/>
          <w:szCs w:val="28"/>
          <w:lang w:val="uk-UA"/>
        </w:rPr>
        <w:t>ієї</w:t>
      </w:r>
      <w:r w:rsidR="00B05C2E">
        <w:rPr>
          <w:rFonts w:ascii="Times New Roman" w:hAnsi="Times New Roman" w:cs="Times New Roman"/>
          <w:sz w:val="28"/>
          <w:szCs w:val="28"/>
          <w:lang w:val="uk-UA"/>
        </w:rPr>
        <w:t xml:space="preserve"> дитини було виявлено від 3 до 5 видів мікроорганізмів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  <w:r w:rsidR="00B05C2E">
        <w:rPr>
          <w:rFonts w:ascii="Times New Roman" w:hAnsi="Times New Roman" w:cs="Times New Roman"/>
          <w:sz w:val="28"/>
          <w:szCs w:val="28"/>
          <w:lang w:val="uk-UA"/>
        </w:rPr>
        <w:t xml:space="preserve"> Провідну роль у ро</w:t>
      </w:r>
      <w:r w:rsidR="00B05C2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05C2E">
        <w:rPr>
          <w:rFonts w:ascii="Times New Roman" w:hAnsi="Times New Roman" w:cs="Times New Roman"/>
          <w:sz w:val="28"/>
          <w:szCs w:val="28"/>
          <w:lang w:val="uk-UA"/>
        </w:rPr>
        <w:t>витку патологічних станів у порожнині рота відведено мікробним асоціаціям, які складалися з аеробів, анаеробів та дріжджоподібних грибів та їх високого ступен</w:t>
      </w:r>
      <w:r w:rsidR="0060109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05C2E">
        <w:rPr>
          <w:rFonts w:ascii="Times New Roman" w:hAnsi="Times New Roman" w:cs="Times New Roman"/>
          <w:sz w:val="28"/>
          <w:szCs w:val="28"/>
          <w:lang w:val="uk-UA"/>
        </w:rPr>
        <w:t xml:space="preserve"> заселення</w:t>
      </w:r>
      <w:r w:rsidR="003D13E5" w:rsidRPr="00B05C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26C2" w:rsidRPr="00966737" w:rsidRDefault="00B05C2E" w:rsidP="00D72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Головну роль у відсотковому співвідношенні серед анаеробної мікро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лори займає група облігатних грамнегативних анаеробів</w:t>
      </w:r>
      <w:r w:rsidR="00D726C2" w:rsidRPr="00B05C2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726C2" w:rsidRPr="00966737">
        <w:rPr>
          <w:rFonts w:ascii="Times New Roman" w:hAnsi="Times New Roman" w:cs="Times New Roman"/>
          <w:sz w:val="28"/>
          <w:szCs w:val="28"/>
        </w:rPr>
        <w:t>Citrobacterfreundii</w:t>
      </w:r>
      <w:r w:rsidR="00D726C2" w:rsidRPr="00B05C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26C2" w:rsidRPr="00966737">
        <w:rPr>
          <w:rFonts w:ascii="Times New Roman" w:hAnsi="Times New Roman" w:cs="Times New Roman"/>
          <w:sz w:val="28"/>
          <w:szCs w:val="28"/>
        </w:rPr>
        <w:t>Enterobacteraerogenes</w:t>
      </w:r>
      <w:r w:rsidR="00D726C2" w:rsidRPr="00B05C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26C2" w:rsidRPr="00966737">
        <w:rPr>
          <w:rFonts w:ascii="Times New Roman" w:hAnsi="Times New Roman" w:cs="Times New Roman"/>
          <w:sz w:val="28"/>
          <w:szCs w:val="28"/>
        </w:rPr>
        <w:t>Enterobactercloacae</w:t>
      </w:r>
      <w:r w:rsidR="00D726C2" w:rsidRPr="00B05C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26C2" w:rsidRPr="00966737">
        <w:rPr>
          <w:rFonts w:ascii="Times New Roman" w:hAnsi="Times New Roman" w:cs="Times New Roman"/>
          <w:sz w:val="28"/>
          <w:szCs w:val="28"/>
        </w:rPr>
        <w:t>Bacteroides</w:t>
      </w:r>
      <w:r w:rsidR="00D726C2" w:rsidRPr="00B05C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26C2" w:rsidRPr="00966737">
        <w:rPr>
          <w:rFonts w:ascii="Times New Roman" w:hAnsi="Times New Roman" w:cs="Times New Roman"/>
          <w:sz w:val="28"/>
          <w:szCs w:val="28"/>
        </w:rPr>
        <w:t>Fusobacterium</w:t>
      </w:r>
      <w:r w:rsidR="00D726C2" w:rsidRPr="00B05C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26C2" w:rsidRPr="00966737">
        <w:rPr>
          <w:rFonts w:ascii="Times New Roman" w:hAnsi="Times New Roman" w:cs="Times New Roman"/>
          <w:sz w:val="28"/>
          <w:szCs w:val="28"/>
        </w:rPr>
        <w:t>Porphyromonasgingivalis</w:t>
      </w:r>
      <w:r w:rsidR="00D726C2" w:rsidRPr="00B05C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26C2" w:rsidRPr="00966737">
        <w:rPr>
          <w:rFonts w:ascii="Times New Roman" w:hAnsi="Times New Roman" w:cs="Times New Roman"/>
          <w:sz w:val="28"/>
          <w:szCs w:val="28"/>
        </w:rPr>
        <w:t>Prevotellaoralis</w:t>
      </w:r>
      <w:r w:rsidR="00D726C2" w:rsidRPr="00B05C2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>У групі практично здорових дітей анаеробні грамнегативні бактерії не виділені</w:t>
      </w:r>
      <w:r w:rsidR="00D726C2" w:rsidRPr="00966737">
        <w:rPr>
          <w:rFonts w:ascii="Times New Roman" w:hAnsi="Times New Roman" w:cs="Times New Roman"/>
          <w:sz w:val="28"/>
          <w:szCs w:val="28"/>
        </w:rPr>
        <w:t xml:space="preserve"> (табл. 4.1). </w:t>
      </w:r>
      <w:r>
        <w:rPr>
          <w:rFonts w:ascii="Times New Roman" w:hAnsi="Times New Roman" w:cs="Times New Roman"/>
          <w:sz w:val="28"/>
          <w:szCs w:val="28"/>
          <w:lang w:val="uk-UA"/>
        </w:rPr>
        <w:t>Статистичний порі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няльний аналіз, проведений з контрольною групою здорових дітей, показав достовірне збільшення кількості анаеробних представників у всіх групах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тей, хворих на гострий лімфобластний лейкоз</w:t>
      </w:r>
      <w:r w:rsidR="00D726C2" w:rsidRPr="00966737">
        <w:rPr>
          <w:rFonts w:ascii="Times New Roman" w:hAnsi="Times New Roman" w:cs="Times New Roman"/>
          <w:sz w:val="28"/>
          <w:szCs w:val="28"/>
        </w:rPr>
        <w:t xml:space="preserve"> (р &lt;0,05).</w:t>
      </w:r>
    </w:p>
    <w:p w:rsidR="001815D0" w:rsidRDefault="001815D0" w:rsidP="00D726C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15D0" w:rsidRDefault="001815D0" w:rsidP="004F059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26C2" w:rsidRPr="00966737" w:rsidRDefault="003D13E5" w:rsidP="00D726C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i/>
          <w:sz w:val="28"/>
          <w:szCs w:val="28"/>
        </w:rPr>
        <w:t>Таблиц</w:t>
      </w:r>
      <w:r w:rsidR="00B05C2E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hAnsi="Times New Roman" w:cs="Times New Roman"/>
          <w:i/>
          <w:sz w:val="28"/>
          <w:szCs w:val="28"/>
        </w:rPr>
        <w:t xml:space="preserve"> 4.1</w:t>
      </w:r>
    </w:p>
    <w:p w:rsidR="00D726C2" w:rsidRPr="00A965BA" w:rsidRDefault="00B05C2E" w:rsidP="00D726C2">
      <w:pPr>
        <w:spacing w:after="0" w:line="360" w:lineRule="auto"/>
        <w:ind w:firstLine="708"/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Мікробіоценоз ротової рідини практично здорових дітей</w:t>
      </w:r>
      <w:r w:rsidRPr="00A965BA">
        <w:rPr>
          <w:rFonts w:ascii="Times New Roman" w:hAnsi="Times New Roman" w:cs="Times New Roman"/>
          <w:sz w:val="28"/>
          <w:szCs w:val="28"/>
          <w:lang w:val="uk-UA"/>
        </w:rPr>
        <w:br/>
        <w:t>та дітей з ГЛЛ</w:t>
      </w:r>
      <w:r w:rsidR="00D726C2" w:rsidRPr="00A965BA">
        <w:rPr>
          <w:rFonts w:ascii="Times New Roman" w:hAnsi="Times New Roman" w:cs="Times New Roman"/>
          <w:sz w:val="28"/>
          <w:szCs w:val="28"/>
        </w:rPr>
        <w:t xml:space="preserve">, </w:t>
      </w:r>
      <w:r w:rsidR="00D726C2" w:rsidRPr="00A965BA">
        <w:rPr>
          <w:rFonts w:ascii="Times New Roman" w:eastAsia="Times New Roman" w:hAnsi="Times New Roman" w:cs="Times New Roman"/>
          <w:sz w:val="28"/>
          <w:szCs w:val="28"/>
        </w:rPr>
        <w:t>lg К</w:t>
      </w:r>
      <w:r w:rsidRPr="00A965B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726C2" w:rsidRPr="00A965BA">
        <w:rPr>
          <w:rFonts w:ascii="Times New Roman" w:eastAsia="Times New Roman" w:hAnsi="Times New Roman" w:cs="Times New Roman"/>
          <w:sz w:val="28"/>
          <w:szCs w:val="28"/>
        </w:rPr>
        <w:t xml:space="preserve">О/мл </w:t>
      </w:r>
      <w:r w:rsidR="00D726C2" w:rsidRPr="00A965BA">
        <w:rPr>
          <w:rFonts w:ascii="Times New Roman" w:hAnsi="Times New Roman" w:cs="Times New Roman"/>
          <w:sz w:val="28"/>
          <w:szCs w:val="28"/>
        </w:rPr>
        <w:t>(M±m)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559"/>
        <w:gridCol w:w="1559"/>
        <w:gridCol w:w="1559"/>
      </w:tblGrid>
      <w:tr w:rsidR="003D13E5" w:rsidRPr="00966737" w:rsidTr="00D726C2">
        <w:trPr>
          <w:trHeight w:val="1107"/>
          <w:jc w:val="center"/>
        </w:trPr>
        <w:tc>
          <w:tcPr>
            <w:tcW w:w="2943" w:type="dxa"/>
            <w:vAlign w:val="center"/>
          </w:tcPr>
          <w:p w:rsidR="003D13E5" w:rsidRPr="00966737" w:rsidRDefault="00B05C2E" w:rsidP="00B05C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Виділені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мікроорганізми</w:t>
            </w:r>
          </w:p>
        </w:tc>
        <w:tc>
          <w:tcPr>
            <w:tcW w:w="1560" w:type="dxa"/>
            <w:vAlign w:val="center"/>
          </w:tcPr>
          <w:p w:rsidR="003D13E5" w:rsidRPr="00966737" w:rsidRDefault="00B05C2E" w:rsidP="00B05C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Гострий період</w:t>
            </w:r>
          </w:p>
        </w:tc>
        <w:tc>
          <w:tcPr>
            <w:tcW w:w="1559" w:type="dxa"/>
            <w:vAlign w:val="center"/>
          </w:tcPr>
          <w:p w:rsidR="003D13E5" w:rsidRPr="00B05C2E" w:rsidRDefault="00B05C2E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Ремісія</w:t>
            </w:r>
          </w:p>
        </w:tc>
        <w:tc>
          <w:tcPr>
            <w:tcW w:w="1559" w:type="dxa"/>
            <w:vAlign w:val="center"/>
          </w:tcPr>
          <w:p w:rsidR="003D13E5" w:rsidRPr="00966737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Рецидив</w:t>
            </w:r>
          </w:p>
        </w:tc>
        <w:tc>
          <w:tcPr>
            <w:tcW w:w="1559" w:type="dxa"/>
            <w:vAlign w:val="center"/>
          </w:tcPr>
          <w:p w:rsidR="003D13E5" w:rsidRPr="00B05C2E" w:rsidRDefault="00B05C2E" w:rsidP="00B05C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діти</w:t>
            </w:r>
          </w:p>
        </w:tc>
      </w:tr>
      <w:tr w:rsidR="003D13E5" w:rsidRPr="00966737" w:rsidTr="00D726C2">
        <w:trPr>
          <w:trHeight w:val="284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3D13E5" w:rsidRPr="00966737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Lactobacillus spp.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1,98±0,11*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1,63±0,09*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0,92±0,05*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3,61±0,19</w:t>
            </w:r>
          </w:p>
        </w:tc>
      </w:tr>
      <w:tr w:rsidR="003D13E5" w:rsidRPr="00966737" w:rsidTr="00D726C2">
        <w:trPr>
          <w:trHeight w:val="269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3D13E5" w:rsidRPr="00966737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Neiseria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2,49±0,13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2,89±0,15*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3,45±0,17*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2,28±0,12</w:t>
            </w:r>
          </w:p>
        </w:tc>
      </w:tr>
      <w:tr w:rsidR="003D13E5" w:rsidRPr="00966737" w:rsidTr="00D726C2">
        <w:trPr>
          <w:trHeight w:val="252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3D13E5" w:rsidRPr="00966737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Staphylococcus spp.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6,72±0,34*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4,05±0,21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7,22±0,04*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3,81±0,20</w:t>
            </w:r>
          </w:p>
        </w:tc>
      </w:tr>
      <w:tr w:rsidR="003D13E5" w:rsidRPr="00966737" w:rsidTr="00D726C2">
        <w:trPr>
          <w:trHeight w:val="30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3D13E5" w:rsidRPr="00966737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Streptococcus spp.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6,89±0,35*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4,27±0,22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7,41±0,04*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3,75±0,19</w:t>
            </w:r>
          </w:p>
        </w:tc>
      </w:tr>
      <w:tr w:rsidR="003D13E5" w:rsidRPr="00966737" w:rsidTr="00D726C2">
        <w:trPr>
          <w:trHeight w:val="39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3D13E5" w:rsidRPr="00966737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Peptostreptococcus spp.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4,32±0,22*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2,71±0,14*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5,68±0,03*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1,63±0,08</w:t>
            </w:r>
          </w:p>
        </w:tc>
      </w:tr>
      <w:tr w:rsidR="003D13E5" w:rsidRPr="00966737" w:rsidTr="00D726C2">
        <w:trPr>
          <w:trHeight w:val="46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3D13E5" w:rsidRPr="00A9729C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Citrobacter freundii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3E5" w:rsidRPr="00A9729C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2,18±0,11*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3E5" w:rsidRPr="00A9729C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1,45±0,07*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3E5" w:rsidRPr="00A9729C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2,93±0,15*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3E5" w:rsidRPr="00A9729C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2943" w:type="dxa"/>
            <w:vAlign w:val="center"/>
          </w:tcPr>
          <w:p w:rsidR="003D13E5" w:rsidRPr="00966737" w:rsidRDefault="003D13E5" w:rsidP="00D726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Enterobacter aerogenes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2,91±0,15*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2,03±0,11*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3,19±0,16*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0,76±0,04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402"/>
          <w:jc w:val="center"/>
        </w:trPr>
        <w:tc>
          <w:tcPr>
            <w:tcW w:w="2943" w:type="dxa"/>
            <w:vAlign w:val="center"/>
          </w:tcPr>
          <w:p w:rsidR="003D13E5" w:rsidRPr="00966737" w:rsidRDefault="003D13E5" w:rsidP="00D726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Enterobacter cloacae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1,92±0,10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0,91±0,05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2,23±0,12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0,79±0,04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2943" w:type="dxa"/>
            <w:vAlign w:val="center"/>
          </w:tcPr>
          <w:p w:rsidR="003D13E5" w:rsidRPr="00966737" w:rsidRDefault="003D13E5" w:rsidP="00D726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Fusobacterium necroforum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2,47±0,13*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1,75±0,09*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2,98±0,15*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1,21±0,07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301"/>
          <w:jc w:val="center"/>
        </w:trPr>
        <w:tc>
          <w:tcPr>
            <w:tcW w:w="2943" w:type="dxa"/>
            <w:vAlign w:val="center"/>
          </w:tcPr>
          <w:p w:rsidR="003D13E5" w:rsidRPr="00966737" w:rsidRDefault="003D13E5" w:rsidP="00D726C2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Bacteroides spp.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3,98±0,20*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2,65±0,14*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4,27±0,22*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2,07±0,11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636"/>
          <w:jc w:val="center"/>
        </w:trPr>
        <w:tc>
          <w:tcPr>
            <w:tcW w:w="2943" w:type="dxa"/>
            <w:vAlign w:val="center"/>
          </w:tcPr>
          <w:p w:rsidR="003D13E5" w:rsidRPr="00966737" w:rsidRDefault="003D13E5" w:rsidP="00D726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Porphyromonas gingivalis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2,45±0,13*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1,98±0,10*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3,61±0,19*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1,45±0,08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139"/>
          <w:jc w:val="center"/>
        </w:trPr>
        <w:tc>
          <w:tcPr>
            <w:tcW w:w="2943" w:type="dxa"/>
            <w:vAlign w:val="center"/>
          </w:tcPr>
          <w:p w:rsidR="003D13E5" w:rsidRPr="00966737" w:rsidRDefault="003D13E5" w:rsidP="00D726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Prevotella oralis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4,91±0,25*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3,65±0,19*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5,22±0,27*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1,62±0,081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160"/>
          <w:jc w:val="center"/>
        </w:trPr>
        <w:tc>
          <w:tcPr>
            <w:tcW w:w="2943" w:type="dxa"/>
            <w:vAlign w:val="center"/>
          </w:tcPr>
          <w:p w:rsidR="003D13E5" w:rsidRPr="00966737" w:rsidRDefault="003D13E5" w:rsidP="00D726C2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Veyllonelly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1,45±0,07*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1,22±0,06*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1,67±0,09*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125"/>
          <w:jc w:val="center"/>
        </w:trPr>
        <w:tc>
          <w:tcPr>
            <w:tcW w:w="2943" w:type="dxa"/>
            <w:vAlign w:val="center"/>
          </w:tcPr>
          <w:p w:rsidR="003D13E5" w:rsidRPr="00966737" w:rsidRDefault="003D13E5" w:rsidP="00D726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Treponema denticole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2,37±0,12*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1,92±0,10*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3,81±0,19*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2943" w:type="dxa"/>
            <w:vAlign w:val="center"/>
          </w:tcPr>
          <w:p w:rsidR="003D13E5" w:rsidRPr="00966737" w:rsidRDefault="003D13E5" w:rsidP="00D726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Candida 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 xml:space="preserve"> albicans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4,45±0,23*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7,32±0,37*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8,09±0,41*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1,05±0,05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2943" w:type="dxa"/>
            <w:vAlign w:val="center"/>
          </w:tcPr>
          <w:p w:rsidR="003D13E5" w:rsidRPr="00A9729C" w:rsidRDefault="00A501AF" w:rsidP="00A501A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Candida</w:t>
            </w:r>
            <w:r w:rsidR="003D13E5" w:rsidRPr="00A9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guillimondii</w:t>
            </w:r>
          </w:p>
        </w:tc>
        <w:tc>
          <w:tcPr>
            <w:tcW w:w="1560" w:type="dxa"/>
            <w:vAlign w:val="center"/>
          </w:tcPr>
          <w:p w:rsidR="003D13E5" w:rsidRPr="00A9729C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5,23±0,27*</w:t>
            </w:r>
          </w:p>
        </w:tc>
        <w:tc>
          <w:tcPr>
            <w:tcW w:w="1559" w:type="dxa"/>
            <w:vAlign w:val="center"/>
          </w:tcPr>
          <w:p w:rsidR="003D13E5" w:rsidRPr="00A9729C" w:rsidRDefault="00A501AF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D13E5"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,81±0,14*</w:t>
            </w:r>
          </w:p>
        </w:tc>
        <w:tc>
          <w:tcPr>
            <w:tcW w:w="1559" w:type="dxa"/>
            <w:vAlign w:val="center"/>
          </w:tcPr>
          <w:p w:rsidR="003D13E5" w:rsidRPr="00A9729C" w:rsidRDefault="00A501AF" w:rsidP="00A50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D13E5"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D13E5"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3±0,31*</w:t>
            </w:r>
          </w:p>
        </w:tc>
        <w:tc>
          <w:tcPr>
            <w:tcW w:w="1559" w:type="dxa"/>
            <w:vAlign w:val="center"/>
          </w:tcPr>
          <w:p w:rsidR="003D13E5" w:rsidRPr="00A9729C" w:rsidRDefault="003D13E5" w:rsidP="00A50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A501AF" w:rsidRPr="00A972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±0,0</w:t>
            </w:r>
            <w:r w:rsidR="00A501AF" w:rsidRPr="00A972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536"/>
          <w:jc w:val="center"/>
        </w:trPr>
        <w:tc>
          <w:tcPr>
            <w:tcW w:w="2943" w:type="dxa"/>
            <w:vAlign w:val="center"/>
          </w:tcPr>
          <w:p w:rsidR="003D13E5" w:rsidRPr="00966737" w:rsidRDefault="003D13E5" w:rsidP="00D726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Klebsiella pneumonia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2,32±0,12*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1,03±0,05*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2,65±0,14*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3E5" w:rsidRPr="00966737" w:rsidTr="00D726C2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2943" w:type="dxa"/>
            <w:vAlign w:val="center"/>
          </w:tcPr>
          <w:p w:rsidR="003D13E5" w:rsidRPr="00966737" w:rsidRDefault="003D13E5" w:rsidP="00D726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Pseudomonas</w:t>
            </w:r>
          </w:p>
        </w:tc>
        <w:tc>
          <w:tcPr>
            <w:tcW w:w="1560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2,41±0,12*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1,12±0,06*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2,73±0,14*</w:t>
            </w:r>
          </w:p>
        </w:tc>
        <w:tc>
          <w:tcPr>
            <w:tcW w:w="1559" w:type="dxa"/>
            <w:vAlign w:val="center"/>
          </w:tcPr>
          <w:p w:rsidR="003D13E5" w:rsidRPr="00684D83" w:rsidRDefault="003D13E5" w:rsidP="00D72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13E5" w:rsidRPr="00966737" w:rsidRDefault="00B05C2E" w:rsidP="00D726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Примітка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: * </w:t>
      </w:r>
      <w:r w:rsidR="001815D0" w:rsidRPr="00E762E1">
        <w:t>–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здорових дітей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(p&lt;0,05)</w:t>
      </w:r>
    </w:p>
    <w:p w:rsidR="003D13E5" w:rsidRPr="001815D0" w:rsidRDefault="00B05C2E" w:rsidP="003D1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стосується аеробної мікрофлори (аеробні грампозитивні коки роду 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Staphylococcus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Streptococcus)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аналіз ротової рідини показа</w:t>
      </w:r>
      <w:r w:rsidR="00680F8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достовірне її збільшення </w:t>
      </w:r>
      <w:r w:rsidR="004F059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групі дітей першого гострого періоду та періоду рецидив</w:t>
      </w:r>
      <w:r w:rsidR="00680F8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ГЛЛ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(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6,72±0,34 </w:t>
      </w:r>
      <w:r w:rsidR="001815D0" w:rsidRPr="00E762E1">
        <w:t>–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7,22±0,04 lg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О/мл </w:t>
      </w:r>
      <w:r w:rsidR="001815D0" w:rsidRPr="00E762E1">
        <w:t>–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стафілококів та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6,89±0,35 </w:t>
      </w:r>
      <w:r w:rsidR="001815D0" w:rsidRPr="00E762E1">
        <w:t>–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7,41±0,04 lg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УО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/мл </w:t>
      </w:r>
      <w:r w:rsidR="001815D0" w:rsidRPr="00E762E1">
        <w:t>–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стрептококів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815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D13E5" w:rsidRPr="001815D0" w:rsidRDefault="00B05C2E" w:rsidP="003D1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Обстеження групи дітей у перший гострий період ГЛЛ, проведене під час їх поліохіміотерапевтичного лікування, показало достовірне збільшення пародонтопатогені</w:t>
      </w:r>
      <w:r w:rsidR="006071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та інших </w:t>
      </w:r>
      <w:r w:rsidR="006071F5" w:rsidRPr="006071F5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представників анаероб</w:t>
      </w:r>
      <w:r w:rsidRPr="006071F5">
        <w:rPr>
          <w:rFonts w:ascii="Times New Roman" w:eastAsia="Times New Roman" w:hAnsi="Times New Roman" w:cs="Times New Roman"/>
          <w:sz w:val="28"/>
          <w:szCs w:val="28"/>
          <w:lang w:val="uk-UA"/>
        </w:rPr>
        <w:t>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мікрофлори</w:t>
      </w:r>
      <w:r w:rsidR="001815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13E5" w:rsidRPr="001815D0">
        <w:rPr>
          <w:rFonts w:ascii="Times New Roman" w:hAnsi="Times New Roman" w:cs="Times New Roman"/>
          <w:sz w:val="28"/>
          <w:szCs w:val="28"/>
          <w:lang w:val="uk-UA"/>
        </w:rPr>
        <w:t xml:space="preserve">(р &lt;0,05). 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1815D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іль</w:t>
      </w:r>
      <w:r w:rsidR="001815D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ість пептострептококів зросла більше</w:t>
      </w:r>
      <w:r w:rsidR="004F05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 xml:space="preserve"> ніж у 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2,5 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 xml:space="preserve">рази порівняно з групою практично здорових дітей, а у групі сімейства ентеробактерій </w:t>
      </w:r>
      <w:r w:rsidR="001815D0" w:rsidRPr="00E762E1">
        <w:t>–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D13E5" w:rsidRPr="00966737">
        <w:rPr>
          <w:rFonts w:ascii="Times New Roman" w:hAnsi="Times New Roman" w:cs="Times New Roman"/>
          <w:sz w:val="28"/>
          <w:szCs w:val="28"/>
        </w:rPr>
        <w:t>2,4-3,8 раз</w:t>
      </w:r>
      <w:r w:rsidR="001815D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. У 45 (73,8%) 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дітей цієї групи висівалися дріждж</w:t>
      </w:r>
      <w:r w:rsidR="004F059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подібні гриби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, у 36 (59%) 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дітей висівали кишкову паличку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(р&lt;0,05). 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Veyllonellа </w:t>
      </w:r>
      <w:r w:rsidR="000E5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була виявлена у 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15 (24,6%) </w:t>
      </w:r>
      <w:r w:rsidR="000E51CF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Treponema denticole у 23 (37,7%). 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Також були виділені н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ферментуючі бактерії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</w:t>
      </w:r>
      <w:r w:rsidR="001815D0" w:rsidRPr="00E762E1">
        <w:t>–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аеробактерії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(15%), 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споротворчі бактерії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(17%), 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номіцети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(16%). </w:t>
      </w:r>
      <w:r w:rsidR="001815D0">
        <w:rPr>
          <w:rFonts w:ascii="Times New Roman" w:hAnsi="Times New Roman" w:cs="Times New Roman"/>
          <w:sz w:val="28"/>
          <w:szCs w:val="28"/>
          <w:lang w:val="uk-UA"/>
        </w:rPr>
        <w:t>При порівнян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ні наведених показників з результатами групи здорових дітей достовірної різниці не було встановлено, але помітною була тенденція зростання у відсотковому співвідношенн</w:t>
      </w:r>
      <w:r w:rsidR="001815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 xml:space="preserve"> згаданих мікроо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E51CF">
        <w:rPr>
          <w:rFonts w:ascii="Times New Roman" w:hAnsi="Times New Roman" w:cs="Times New Roman"/>
          <w:sz w:val="28"/>
          <w:szCs w:val="28"/>
          <w:lang w:val="uk-UA"/>
        </w:rPr>
        <w:t>ганізмів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  <w:r w:rsidR="00181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13E5" w:rsidRPr="006071F5" w:rsidRDefault="000E51CF" w:rsidP="003D1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мікрофлори ротової рідини </w:t>
      </w:r>
      <w:r w:rsidR="004F059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 у стадії ремісії показав зниження кількості аеробної мікрофлори, а саме представників роду стафіл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коків та стрептококів. Відсоткове співвідношення анаеробів до аеробів скл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дало </w:t>
      </w:r>
      <w:r w:rsidR="003D13E5" w:rsidRPr="00FD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3:1.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Однак на фоні потужної поліохіміотерапії </w:t>
      </w:r>
      <w:r w:rsidR="000D1B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цей період у всіх дітей даної групи висівали дріжджові гриби, часто реєструвалися анаеробно-аеробні грибкові асоціації мікроорганізмів</w:t>
      </w:r>
      <w:r w:rsidR="003D13E5" w:rsidRPr="00FD1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(табл. </w:t>
      </w:r>
      <w:r w:rsidR="003D13E5" w:rsidRPr="00D652F0">
        <w:rPr>
          <w:rFonts w:ascii="Times New Roman" w:eastAsia="Times New Roman" w:hAnsi="Times New Roman" w:cs="Times New Roman"/>
          <w:sz w:val="28"/>
          <w:szCs w:val="28"/>
          <w:lang w:val="uk-UA"/>
        </w:rPr>
        <w:t>4.1)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815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всіх дітей з ГЛЛ у період ремісії спостерігалося зменшення, а у ряд</w:t>
      </w:r>
      <w:r w:rsidR="004F059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хворих </w:t>
      </w:r>
      <w:r w:rsidR="001815D0" w:rsidRPr="006071F5">
        <w:rPr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</w:t>
      </w:r>
      <w:r w:rsidR="006071F5">
        <w:rPr>
          <w:rFonts w:ascii="Times New Roman" w:eastAsia="Times New Roman" w:hAnsi="Times New Roman" w:cs="Times New Roman"/>
          <w:sz w:val="28"/>
          <w:szCs w:val="28"/>
          <w:lang w:val="uk-UA"/>
        </w:rPr>
        <w:t>е зникнення нормальних симбіонті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1815D0" w:rsidRPr="006071F5">
        <w:rPr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слинних стрептококів, лактобактерій та епідермал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них стафілококів</w:t>
      </w:r>
      <w:r w:rsidR="003D13E5" w:rsidRPr="006071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13E5" w:rsidRPr="000E4E1E" w:rsidRDefault="000E51CF" w:rsidP="003D1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Найтяжчі порушення колонізаційної резистентності фіксувалися </w:t>
      </w:r>
      <w:r w:rsidR="004F059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 дітей з ГЛЛ у період рецидиву. Мікрофлора ротової рідини дітей з рецид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вом ГЛЛ зазнавала критичних змін з розвитком декомпенсованого дисба</w:t>
      </w:r>
      <w:r w:rsidR="00B411E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ріоз</w:t>
      </w:r>
      <w:r w:rsidR="001815D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що, на нашу думку, може призвести до порушення функціонування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тової порожнини як орган</w:t>
      </w:r>
      <w:r w:rsidR="00FE173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Той факт, що відразу після ремісії </w:t>
      </w:r>
      <w:r w:rsidR="00FE173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заго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трення після проведення хіміотерапі</w:t>
      </w:r>
      <w:r w:rsidR="001C60B5">
        <w:rPr>
          <w:rFonts w:ascii="Times New Roman" w:eastAsia="Times New Roman" w:hAnsi="Times New Roman" w:cs="Times New Roman"/>
          <w:sz w:val="28"/>
          <w:szCs w:val="28"/>
          <w:lang w:val="uk-UA"/>
        </w:rPr>
        <w:t>ї частота виявлення</w:t>
      </w:r>
      <w:r w:rsidR="00896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675C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агатьох</w:t>
      </w:r>
      <w:r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мікроорг</w:t>
      </w:r>
      <w:r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нізмів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була більшою, ніж під час лікування, пояснюється наявністю саме у цей період ерозивно-виразкових уражень, які швидко піддавалися вторинн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 інфікуванню</w:t>
      </w:r>
      <w:r w:rsidR="003D13E5" w:rsidRPr="000E51C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501AF" w:rsidRPr="0047467F" w:rsidRDefault="00A501AF" w:rsidP="00474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1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746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4E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01AF">
        <w:rPr>
          <w:rFonts w:ascii="Times New Roman" w:hAnsi="Times New Roman" w:cs="Times New Roman"/>
          <w:sz w:val="28"/>
          <w:szCs w:val="28"/>
          <w:lang w:val="uk-UA"/>
        </w:rPr>
        <w:t>Особливо важливим є виявлення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1AF">
        <w:rPr>
          <w:rFonts w:ascii="Times New Roman" w:hAnsi="Times New Roman" w:cs="Times New Roman"/>
          <w:sz w:val="28"/>
          <w:szCs w:val="28"/>
          <w:lang w:val="uk-UA"/>
        </w:rPr>
        <w:t>в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B8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B8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сіх періодах</w:t>
      </w:r>
      <w:r w:rsidRPr="00A501AF">
        <w:rPr>
          <w:rFonts w:ascii="Times New Roman" w:hAnsi="Times New Roman" w:cs="Times New Roman"/>
          <w:sz w:val="28"/>
          <w:szCs w:val="28"/>
          <w:lang w:val="uk-UA"/>
        </w:rPr>
        <w:t xml:space="preserve"> ГЛЛ</w:t>
      </w:r>
      <w:r w:rsidRPr="000E4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1AF">
        <w:rPr>
          <w:rFonts w:ascii="Times New Roman" w:hAnsi="Times New Roman" w:cs="Times New Roman"/>
          <w:sz w:val="28"/>
          <w:szCs w:val="28"/>
          <w:lang w:val="uk-UA"/>
        </w:rPr>
        <w:t xml:space="preserve"> досить р</w:t>
      </w:r>
      <w:r w:rsidRPr="00A501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01AF">
        <w:rPr>
          <w:rFonts w:ascii="Times New Roman" w:hAnsi="Times New Roman" w:cs="Times New Roman"/>
          <w:sz w:val="28"/>
          <w:szCs w:val="28"/>
          <w:lang w:val="uk-UA"/>
        </w:rPr>
        <w:t>дкісних мешканців порожнини рота: Candida guillimondii, наявність яких є патогномонічним при гемобластозах у дітей, зокрема при ГЛЛ.</w:t>
      </w:r>
    </w:p>
    <w:p w:rsidR="003D13E5" w:rsidRPr="000E51CF" w:rsidRDefault="00FE173B" w:rsidP="00FE173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47467F">
        <w:rPr>
          <w:rFonts w:ascii="Times New Roman" w:hAnsi="Times New Roman" w:cs="Times New Roman"/>
          <w:sz w:val="28"/>
          <w:lang w:val="uk-UA"/>
        </w:rPr>
        <w:t xml:space="preserve">  </w:t>
      </w:r>
      <w:r w:rsidR="000E51CF">
        <w:rPr>
          <w:rFonts w:ascii="Times New Roman" w:hAnsi="Times New Roman" w:cs="Times New Roman"/>
          <w:sz w:val="28"/>
          <w:lang w:val="uk-UA"/>
        </w:rPr>
        <w:t xml:space="preserve">Дослідження мікрофлори зубного нальоту 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0E51CF">
        <w:rPr>
          <w:rFonts w:ascii="Times New Roman" w:hAnsi="Times New Roman" w:cs="Times New Roman"/>
          <w:sz w:val="28"/>
          <w:lang w:val="uk-UA"/>
        </w:rPr>
        <w:t xml:space="preserve"> дітей з гострим лімфоблас</w:t>
      </w:r>
      <w:r w:rsidR="000E51CF">
        <w:rPr>
          <w:rFonts w:ascii="Times New Roman" w:hAnsi="Times New Roman" w:cs="Times New Roman"/>
          <w:sz w:val="28"/>
          <w:lang w:val="uk-UA"/>
        </w:rPr>
        <w:t>т</w:t>
      </w:r>
      <w:r w:rsidR="000E51CF">
        <w:rPr>
          <w:rFonts w:ascii="Times New Roman" w:hAnsi="Times New Roman" w:cs="Times New Roman"/>
          <w:sz w:val="28"/>
          <w:lang w:val="uk-UA"/>
        </w:rPr>
        <w:t>ним лейкозом показало, що у мікробіоценозі даної групи осіб відбуваються до</w:t>
      </w:r>
      <w:r>
        <w:rPr>
          <w:rFonts w:ascii="Times New Roman" w:hAnsi="Times New Roman" w:cs="Times New Roman"/>
          <w:sz w:val="28"/>
          <w:lang w:val="uk-UA"/>
        </w:rPr>
        <w:t xml:space="preserve">сить значні зміни </w:t>
      </w:r>
      <w:r w:rsidR="000E51CF">
        <w:rPr>
          <w:rFonts w:ascii="Times New Roman" w:hAnsi="Times New Roman" w:cs="Times New Roman"/>
          <w:sz w:val="28"/>
          <w:lang w:val="uk-UA"/>
        </w:rPr>
        <w:t xml:space="preserve"> як у якісному, так і 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0E51CF">
        <w:rPr>
          <w:rFonts w:ascii="Times New Roman" w:hAnsi="Times New Roman" w:cs="Times New Roman"/>
          <w:sz w:val="28"/>
          <w:lang w:val="uk-UA"/>
        </w:rPr>
        <w:t xml:space="preserve"> кількісному відношенні</w:t>
      </w:r>
      <w:r w:rsidR="003D13E5" w:rsidRPr="000E51CF">
        <w:rPr>
          <w:rFonts w:ascii="Times New Roman" w:hAnsi="Times New Roman" w:cs="Times New Roman"/>
          <w:sz w:val="28"/>
          <w:lang w:val="uk-UA"/>
        </w:rPr>
        <w:t>.</w:t>
      </w:r>
    </w:p>
    <w:p w:rsidR="003D13E5" w:rsidRPr="00966737" w:rsidRDefault="000E51CF" w:rsidP="003D1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Мікрофлора зубного нальоту з поверхні нижніх молярів також пре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ставлена грампозитивними та грамнегативними бактеріями</w:t>
      </w:r>
      <w:r w:rsidR="003D13E5" w:rsidRPr="0096673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uk-UA"/>
        </w:rPr>
        <w:t>умовно-патогенна флора</w:t>
      </w:r>
      <w:r w:rsidR="003D13E5" w:rsidRPr="0096673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  <w:lang w:val="uk-UA"/>
        </w:rPr>
        <w:t xml:space="preserve">грибами роду </w:t>
      </w:r>
      <w:r w:rsidR="003D13E5" w:rsidRPr="00966737">
        <w:rPr>
          <w:rStyle w:val="550"/>
          <w:bCs/>
          <w:sz w:val="28"/>
          <w:lang w:val="ru-RU"/>
        </w:rPr>
        <w:t xml:space="preserve">Candida </w:t>
      </w:r>
      <w:r w:rsidRPr="00777374">
        <w:rPr>
          <w:rStyle w:val="550"/>
          <w:bCs/>
          <w:i w:val="0"/>
          <w:sz w:val="28"/>
          <w:lang w:val="uk-UA"/>
        </w:rPr>
        <w:t>та патогенною флорою</w:t>
      </w:r>
      <w:r w:rsidR="003D13E5" w:rsidRPr="00966737">
        <w:rPr>
          <w:rStyle w:val="550"/>
          <w:bCs/>
          <w:sz w:val="28"/>
          <w:lang w:val="ru-RU"/>
        </w:rPr>
        <w:t>.</w:t>
      </w:r>
    </w:p>
    <w:p w:rsidR="00EE6B01" w:rsidRPr="00966737" w:rsidRDefault="000E51CF" w:rsidP="00EE6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 видовий склад домінуючої флори біоценозу зубного наль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ту зберігав</w:t>
      </w:r>
      <w:r w:rsidR="00777374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FE173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у різні періоди основного захворювання. Однак відзн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FE173B">
        <w:rPr>
          <w:rFonts w:ascii="Times New Roman" w:hAnsi="Times New Roman" w:cs="Times New Roman"/>
          <w:sz w:val="28"/>
          <w:szCs w:val="28"/>
          <w:lang w:val="uk-UA"/>
        </w:rPr>
        <w:t>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значн</w:t>
      </w:r>
      <w:r w:rsidR="00FE173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73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рост</w:t>
      </w:r>
      <w:r w:rsidR="00FE173B">
        <w:rPr>
          <w:rFonts w:ascii="Times New Roman" w:hAnsi="Times New Roman" w:cs="Times New Roman"/>
          <w:sz w:val="28"/>
          <w:szCs w:val="28"/>
          <w:lang w:val="uk-UA"/>
        </w:rPr>
        <w:t>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стафіло-стрептококової флори </w:t>
      </w:r>
      <w:r w:rsidR="00FE173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у перший гострий період ГЛЛ</w:t>
      </w:r>
      <w:r w:rsidR="00EE6B01" w:rsidRPr="00966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EE6B01" w:rsidRPr="000E51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6B01" w:rsidRPr="00966737">
        <w:rPr>
          <w:rFonts w:ascii="Times New Roman" w:hAnsi="Times New Roman" w:cs="Times New Roman"/>
          <w:sz w:val="28"/>
          <w:szCs w:val="28"/>
        </w:rPr>
        <w:t>Streptococcus</w:t>
      </w:r>
      <w:r w:rsidR="00EE6B01" w:rsidRPr="00966737">
        <w:rPr>
          <w:rFonts w:ascii="Times New Roman" w:eastAsia="Times New Roman" w:hAnsi="Times New Roman" w:cs="Times New Roman"/>
          <w:sz w:val="28"/>
          <w:szCs w:val="28"/>
        </w:rPr>
        <w:t>mutans</w:t>
      </w:r>
      <w:r w:rsidR="001C6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зустрічався у кільк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r w:rsidR="00EE6B01" w:rsidRPr="000E5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6,46 </w:t>
      </w:r>
      <w:r w:rsidR="00EE6B01" w:rsidRPr="000E51CF">
        <w:rPr>
          <w:rFonts w:ascii="Times New Roman" w:hAnsi="Times New Roman" w:cs="Times New Roman"/>
          <w:sz w:val="28"/>
          <w:szCs w:val="28"/>
          <w:lang w:val="uk-UA"/>
        </w:rPr>
        <w:t xml:space="preserve">± 0,33 </w:t>
      </w:r>
      <w:r w:rsidR="00EE6B01" w:rsidRPr="00966737">
        <w:rPr>
          <w:rFonts w:ascii="Times New Roman" w:eastAsia="Times New Roman" w:hAnsi="Times New Roman" w:cs="Times New Roman"/>
          <w:sz w:val="28"/>
          <w:szCs w:val="28"/>
        </w:rPr>
        <w:t>lg</w:t>
      </w:r>
      <w:r w:rsidR="00EE6B01" w:rsidRPr="000E5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E6B01" w:rsidRPr="000E51CF">
        <w:rPr>
          <w:rFonts w:ascii="Times New Roman" w:eastAsia="Times New Roman" w:hAnsi="Times New Roman" w:cs="Times New Roman"/>
          <w:sz w:val="28"/>
          <w:szCs w:val="28"/>
          <w:lang w:val="uk-UA"/>
        </w:rPr>
        <w:t>О/ см</w:t>
      </w:r>
      <w:r w:rsidR="00EE6B01" w:rsidRPr="000E51C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E6B01" w:rsidRPr="000E5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практично </w:t>
      </w:r>
      <w:r w:rsidR="001C60B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 </w:t>
      </w:r>
      <w:r w:rsidR="001C6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більше, ніж у здорових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тей, а </w:t>
      </w:r>
      <w:r w:rsidR="00EE6B01" w:rsidRPr="00966737">
        <w:rPr>
          <w:rFonts w:ascii="Times New Roman" w:hAnsi="Times New Roman" w:cs="Times New Roman"/>
          <w:sz w:val="28"/>
          <w:szCs w:val="28"/>
        </w:rPr>
        <w:t>Staph</w:t>
      </w:r>
      <w:r w:rsidR="00EE6B01" w:rsidRPr="000E51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7374" w:rsidRPr="000E51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6B01" w:rsidRPr="00966737">
        <w:rPr>
          <w:rFonts w:ascii="Times New Roman" w:hAnsi="Times New Roman" w:cs="Times New Roman"/>
          <w:sz w:val="28"/>
          <w:szCs w:val="28"/>
        </w:rPr>
        <w:t>ureus</w:t>
      </w:r>
      <w:r w:rsidR="00777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висівався у </w:t>
      </w:r>
      <w:r w:rsidR="00EE6B01" w:rsidRPr="000E51CF">
        <w:rPr>
          <w:rFonts w:ascii="Times New Roman" w:hAnsi="Times New Roman" w:cs="Times New Roman"/>
          <w:sz w:val="28"/>
          <w:szCs w:val="28"/>
          <w:lang w:val="uk-UA"/>
        </w:rPr>
        <w:t xml:space="preserve">1,85 </w:t>
      </w:r>
      <w:r>
        <w:rPr>
          <w:rFonts w:ascii="Times New Roman" w:hAnsi="Times New Roman" w:cs="Times New Roman"/>
          <w:sz w:val="28"/>
          <w:szCs w:val="28"/>
          <w:lang w:val="uk-UA"/>
        </w:rPr>
        <w:t>разів частіше</w:t>
      </w:r>
      <w:r w:rsidR="00EE6B01" w:rsidRPr="000E51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 дітей групи гострого 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ріоду ГЛЛ також спостерігалося зниження на </w:t>
      </w:r>
      <w:r w:rsidR="00EE6B01" w:rsidRPr="00966737">
        <w:rPr>
          <w:rFonts w:ascii="Times New Roman" w:hAnsi="Times New Roman" w:cs="Times New Roman"/>
          <w:sz w:val="28"/>
          <w:szCs w:val="28"/>
        </w:rPr>
        <w:t>1,3 lg 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7374">
        <w:rPr>
          <w:rFonts w:ascii="Times New Roman" w:hAnsi="Times New Roman" w:cs="Times New Roman"/>
          <w:sz w:val="28"/>
          <w:szCs w:val="28"/>
        </w:rPr>
        <w:t>О</w:t>
      </w:r>
      <w:r w:rsidR="00EE6B01" w:rsidRPr="00966737">
        <w:rPr>
          <w:rFonts w:ascii="Times New Roman" w:hAnsi="Times New Roman" w:cs="Times New Roman"/>
          <w:sz w:val="28"/>
          <w:szCs w:val="28"/>
        </w:rPr>
        <w:t>/</w:t>
      </w:r>
      <w:r w:rsidR="00EE6B01" w:rsidRPr="00966737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EE6B01" w:rsidRPr="009667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77737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кількості лакт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бацил</w:t>
      </w:r>
      <w:r w:rsidR="00EE6B01" w:rsidRPr="009667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6B01" w:rsidRPr="00966737">
        <w:rPr>
          <w:rFonts w:ascii="Times New Roman" w:hAnsi="Times New Roman" w:cs="Times New Roman"/>
          <w:sz w:val="28"/>
          <w:szCs w:val="28"/>
        </w:rPr>
        <w:t xml:space="preserve"> 63,8%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зустрічалися колонії грибів роду </w:t>
      </w:r>
      <w:r w:rsidR="00EE6B01" w:rsidRPr="00777374">
        <w:rPr>
          <w:rFonts w:ascii="Times New Roman" w:hAnsi="Times New Roman" w:cs="Times New Roman"/>
          <w:i/>
          <w:sz w:val="28"/>
          <w:szCs w:val="28"/>
        </w:rPr>
        <w:t>Candida</w:t>
      </w:r>
      <w:r w:rsidR="00EE6B01" w:rsidRPr="0096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помірним зростанням</w:t>
      </w:r>
      <w:r w:rsidR="00EE6B01" w:rsidRPr="00966737">
        <w:rPr>
          <w:rFonts w:ascii="Times New Roman" w:hAnsi="Times New Roman" w:cs="Times New Roman"/>
          <w:sz w:val="28"/>
          <w:szCs w:val="28"/>
        </w:rPr>
        <w:t xml:space="preserve"> (табл. 4.2).</w:t>
      </w:r>
    </w:p>
    <w:p w:rsidR="00D726C2" w:rsidRPr="00966737" w:rsidRDefault="00D726C2" w:rsidP="00D726C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77374" w:rsidRDefault="00777374" w:rsidP="00D726C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77374" w:rsidRDefault="00777374" w:rsidP="00D726C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77374" w:rsidRPr="00821AB5" w:rsidRDefault="00777374" w:rsidP="000E4E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77374" w:rsidRDefault="00777374" w:rsidP="00D726C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26C2" w:rsidRPr="00966737" w:rsidRDefault="003D13E5" w:rsidP="00D726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737">
        <w:rPr>
          <w:rFonts w:ascii="Times New Roman" w:hAnsi="Times New Roman" w:cs="Times New Roman"/>
          <w:i/>
          <w:sz w:val="28"/>
          <w:szCs w:val="28"/>
        </w:rPr>
        <w:lastRenderedPageBreak/>
        <w:t>Таблиц</w:t>
      </w:r>
      <w:r w:rsidR="000E51CF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hAnsi="Times New Roman" w:cs="Times New Roman"/>
          <w:i/>
          <w:sz w:val="28"/>
          <w:szCs w:val="28"/>
        </w:rPr>
        <w:t xml:space="preserve"> 4.2</w:t>
      </w:r>
    </w:p>
    <w:p w:rsidR="00D726C2" w:rsidRPr="00A965BA" w:rsidRDefault="000E51CF" w:rsidP="00D726C2">
      <w:pPr>
        <w:spacing w:after="0" w:line="360" w:lineRule="auto"/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  <w:lang w:val="uk-UA"/>
        </w:rPr>
        <w:t>Мікробіоценоз зубного нальоту з поверхні ни</w:t>
      </w:r>
      <w:r w:rsidR="0089675C" w:rsidRPr="00A965BA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A965BA">
        <w:rPr>
          <w:rFonts w:ascii="Times New Roman" w:hAnsi="Times New Roman" w:cs="Times New Roman"/>
          <w:sz w:val="28"/>
          <w:szCs w:val="28"/>
          <w:lang w:val="uk-UA"/>
        </w:rPr>
        <w:t>ніх молярів</w:t>
      </w:r>
      <w:r w:rsidR="002F1C2C" w:rsidRPr="00A965BA">
        <w:rPr>
          <w:rFonts w:ascii="Times New Roman" w:hAnsi="Times New Roman" w:cs="Times New Roman"/>
          <w:sz w:val="28"/>
          <w:szCs w:val="28"/>
          <w:lang w:val="uk-UA"/>
        </w:rPr>
        <w:br/>
        <w:t>практично здорових дітей та дітей з ГЛЛ</w:t>
      </w:r>
      <w:r w:rsidR="00D72B38" w:rsidRPr="00A965BA">
        <w:rPr>
          <w:rFonts w:ascii="Times New Roman" w:hAnsi="Times New Roman" w:cs="Times New Roman"/>
          <w:sz w:val="28"/>
          <w:szCs w:val="28"/>
        </w:rPr>
        <w:t xml:space="preserve">, </w:t>
      </w:r>
      <w:r w:rsidR="00D72B38" w:rsidRPr="00A965BA">
        <w:rPr>
          <w:rFonts w:ascii="Times New Roman" w:eastAsia="Times New Roman" w:hAnsi="Times New Roman" w:cs="Times New Roman"/>
          <w:sz w:val="28"/>
          <w:szCs w:val="28"/>
        </w:rPr>
        <w:t>lg К</w:t>
      </w:r>
      <w:r w:rsidR="002F1C2C" w:rsidRPr="00A965B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72B38" w:rsidRPr="00A965BA">
        <w:rPr>
          <w:rFonts w:ascii="Times New Roman" w:eastAsia="Times New Roman" w:hAnsi="Times New Roman" w:cs="Times New Roman"/>
          <w:sz w:val="28"/>
          <w:szCs w:val="28"/>
        </w:rPr>
        <w:t xml:space="preserve">О/мл </w:t>
      </w:r>
      <w:r w:rsidR="00D72B38" w:rsidRPr="00A965BA">
        <w:rPr>
          <w:rFonts w:ascii="Times New Roman" w:hAnsi="Times New Roman" w:cs="Times New Roman"/>
          <w:sz w:val="28"/>
          <w:szCs w:val="28"/>
        </w:rPr>
        <w:t>(M±m)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559"/>
        <w:gridCol w:w="1559"/>
        <w:gridCol w:w="1701"/>
      </w:tblGrid>
      <w:tr w:rsidR="00D726C2" w:rsidRPr="00966737" w:rsidTr="00EE6B01">
        <w:trPr>
          <w:trHeight w:val="958"/>
          <w:jc w:val="center"/>
        </w:trPr>
        <w:tc>
          <w:tcPr>
            <w:tcW w:w="2660" w:type="dxa"/>
            <w:vAlign w:val="center"/>
          </w:tcPr>
          <w:p w:rsidR="00D726C2" w:rsidRPr="00966737" w:rsidRDefault="002F1C2C" w:rsidP="002F1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Виділені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мікроорганізми</w:t>
            </w:r>
          </w:p>
        </w:tc>
        <w:tc>
          <w:tcPr>
            <w:tcW w:w="1701" w:type="dxa"/>
            <w:vAlign w:val="center"/>
          </w:tcPr>
          <w:p w:rsidR="00D726C2" w:rsidRPr="002F1C2C" w:rsidRDefault="002F1C2C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Гострий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 період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2F1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 w:rsidR="002F1C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F1C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Рецидив</w:t>
            </w:r>
          </w:p>
        </w:tc>
        <w:tc>
          <w:tcPr>
            <w:tcW w:w="1701" w:type="dxa"/>
            <w:vAlign w:val="center"/>
          </w:tcPr>
          <w:p w:rsidR="00D726C2" w:rsidRPr="00966737" w:rsidRDefault="002F1C2C" w:rsidP="002F1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Здорові діти</w:t>
            </w:r>
          </w:p>
        </w:tc>
      </w:tr>
      <w:tr w:rsidR="00D726C2" w:rsidRPr="00966737" w:rsidTr="00EE6B01">
        <w:trPr>
          <w:trHeight w:val="28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Lactobacillus spp.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1,92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±0,10*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±0,07*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0,92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±0,05*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3,22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±0,17</w:t>
            </w:r>
          </w:p>
        </w:tc>
      </w:tr>
      <w:tr w:rsidR="00D726C2" w:rsidRPr="00966737" w:rsidTr="00EE6B01">
        <w:trPr>
          <w:trHeight w:val="269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Proteus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1,22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±0,07*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1,09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±0,06*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1,42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±0,08*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6C2" w:rsidRPr="00966737" w:rsidTr="00EE6B01">
        <w:trPr>
          <w:trHeight w:val="252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Str.viridans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4,72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±0,24*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2,73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±0,14*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4,97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±0,25*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±0,19</w:t>
            </w:r>
          </w:p>
        </w:tc>
      </w:tr>
      <w:tr w:rsidR="00D726C2" w:rsidRPr="00966737" w:rsidTr="00EE6B01">
        <w:trPr>
          <w:trHeight w:val="301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Str. mutans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6,46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±0,33*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3,29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±0,17*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6,85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±0,35*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4,47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±0,23</w:t>
            </w:r>
          </w:p>
        </w:tc>
      </w:tr>
      <w:tr w:rsidR="00D726C2" w:rsidRPr="00966737" w:rsidTr="00EE6B01">
        <w:trPr>
          <w:trHeight w:val="39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Str. haemolyticus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2,43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±0,13*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1,65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±0,09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2,66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±0,14*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1,72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±0,09</w:t>
            </w:r>
          </w:p>
        </w:tc>
      </w:tr>
      <w:tr w:rsidR="00D726C2" w:rsidRPr="00966737" w:rsidTr="00EE6B01">
        <w:trPr>
          <w:trHeight w:val="461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Candida 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 xml:space="preserve"> albicans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4,96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±0,25*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5,65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±0,29*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6,82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±0,35*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3,17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±0,16</w:t>
            </w:r>
          </w:p>
        </w:tc>
      </w:tr>
      <w:tr w:rsidR="00D726C2" w:rsidRPr="00966737" w:rsidTr="00EE6B01">
        <w:tblPrEx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2660" w:type="dxa"/>
            <w:vAlign w:val="center"/>
          </w:tcPr>
          <w:p w:rsidR="00D726C2" w:rsidRPr="00966737" w:rsidRDefault="00DA74C3" w:rsidP="00EE6B0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29C">
              <w:rPr>
                <w:rFonts w:ascii="Times New Roman" w:eastAsia="Times New Roman" w:hAnsi="Times New Roman" w:cs="Times New Roman"/>
                <w:sz w:val="28"/>
                <w:szCs w:val="28"/>
              </w:rPr>
              <w:t>Candida</w:t>
            </w:r>
            <w:r w:rsidRPr="00A9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guillimondii</w:t>
            </w:r>
          </w:p>
        </w:tc>
        <w:tc>
          <w:tcPr>
            <w:tcW w:w="1701" w:type="dxa"/>
            <w:vAlign w:val="center"/>
          </w:tcPr>
          <w:p w:rsidR="00D726C2" w:rsidRPr="00966737" w:rsidRDefault="00DA74C3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726C2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,75</w:t>
            </w:r>
            <w:r w:rsidR="00D726C2" w:rsidRPr="00966737">
              <w:rPr>
                <w:rFonts w:ascii="Times New Roman" w:hAnsi="Times New Roman" w:cs="Times New Roman"/>
                <w:sz w:val="28"/>
                <w:szCs w:val="28"/>
              </w:rPr>
              <w:t>±0,09</w:t>
            </w:r>
          </w:p>
        </w:tc>
        <w:tc>
          <w:tcPr>
            <w:tcW w:w="1559" w:type="dxa"/>
            <w:vAlign w:val="center"/>
          </w:tcPr>
          <w:p w:rsidR="00D726C2" w:rsidRPr="00966737" w:rsidRDefault="00DA74C3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726C2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,62</w:t>
            </w:r>
            <w:r w:rsidR="00D726C2" w:rsidRPr="00966737">
              <w:rPr>
                <w:rFonts w:ascii="Times New Roman" w:hAnsi="Times New Roman" w:cs="Times New Roman"/>
                <w:sz w:val="28"/>
                <w:szCs w:val="28"/>
              </w:rPr>
              <w:t>±0,09</w:t>
            </w:r>
          </w:p>
        </w:tc>
        <w:tc>
          <w:tcPr>
            <w:tcW w:w="1559" w:type="dxa"/>
            <w:vAlign w:val="center"/>
          </w:tcPr>
          <w:p w:rsidR="00D726C2" w:rsidRPr="00966737" w:rsidRDefault="00DA74C3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726C2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,97</w:t>
            </w:r>
            <w:r w:rsidR="00D726C2" w:rsidRPr="00966737">
              <w:rPr>
                <w:rFonts w:ascii="Times New Roman" w:hAnsi="Times New Roman" w:cs="Times New Roman"/>
                <w:sz w:val="28"/>
                <w:szCs w:val="28"/>
              </w:rPr>
              <w:t>±0,10*</w:t>
            </w:r>
          </w:p>
        </w:tc>
        <w:tc>
          <w:tcPr>
            <w:tcW w:w="1701" w:type="dxa"/>
            <w:vAlign w:val="center"/>
          </w:tcPr>
          <w:p w:rsidR="00D726C2" w:rsidRPr="00966737" w:rsidRDefault="005635BE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726C2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,52</w:t>
            </w:r>
            <w:r w:rsidR="00D726C2" w:rsidRPr="00966737">
              <w:rPr>
                <w:rFonts w:ascii="Times New Roman" w:hAnsi="Times New Roman" w:cs="Times New Roman"/>
                <w:sz w:val="28"/>
                <w:szCs w:val="28"/>
              </w:rPr>
              <w:t>±0,08</w:t>
            </w:r>
          </w:p>
        </w:tc>
      </w:tr>
      <w:tr w:rsidR="00D726C2" w:rsidRPr="00966737" w:rsidTr="00EE6B01">
        <w:tblPrEx>
          <w:tblLook w:val="0000" w:firstRow="0" w:lastRow="0" w:firstColumn="0" w:lastColumn="0" w:noHBand="0" w:noVBand="0"/>
        </w:tblPrEx>
        <w:trPr>
          <w:trHeight w:val="402"/>
          <w:jc w:val="center"/>
        </w:trPr>
        <w:tc>
          <w:tcPr>
            <w:tcW w:w="2660" w:type="dxa"/>
            <w:vAlign w:val="center"/>
          </w:tcPr>
          <w:p w:rsidR="00D726C2" w:rsidRPr="00966737" w:rsidRDefault="00D726C2" w:rsidP="00EE6B0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Staph. aureus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1,35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±0,07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0,92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±0,05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1,68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±0,09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0,73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±0,04</w:t>
            </w:r>
          </w:p>
        </w:tc>
      </w:tr>
      <w:tr w:rsidR="00D726C2" w:rsidRPr="00966737" w:rsidTr="00EE6B01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2660" w:type="dxa"/>
            <w:vAlign w:val="center"/>
          </w:tcPr>
          <w:p w:rsidR="00D726C2" w:rsidRPr="00966737" w:rsidRDefault="00D726C2" w:rsidP="00EE6B0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Escherichia coli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1,19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±0,06*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±0,04*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1,54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±0,08*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6C2" w:rsidRPr="00966737" w:rsidTr="00EE6B01">
        <w:tblPrEx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2660" w:type="dxa"/>
            <w:vAlign w:val="center"/>
          </w:tcPr>
          <w:p w:rsidR="00D726C2" w:rsidRPr="00966737" w:rsidRDefault="00D726C2" w:rsidP="00EE6B01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Enterococus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1,53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±0,08*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0,92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±0,05*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1,78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±0,09*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0,55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±0,03</w:t>
            </w:r>
          </w:p>
        </w:tc>
      </w:tr>
      <w:tr w:rsidR="00D726C2" w:rsidRPr="00966737" w:rsidTr="00EE6B01">
        <w:tblPrEx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660" w:type="dxa"/>
            <w:vAlign w:val="center"/>
          </w:tcPr>
          <w:p w:rsidR="00D726C2" w:rsidRPr="00966737" w:rsidRDefault="00D726C2" w:rsidP="00EE6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Stomatococcus spp.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3,22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±0,17*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2,31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±0,12*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3,46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±0,18*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1,92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±0,10</w:t>
            </w:r>
          </w:p>
        </w:tc>
      </w:tr>
      <w:tr w:rsidR="00D726C2" w:rsidRPr="00966737" w:rsidTr="00EE6B01">
        <w:tblPrEx>
          <w:tblLook w:val="0000" w:firstRow="0" w:lastRow="0" w:firstColumn="0" w:lastColumn="0" w:noHBand="0" w:noVBand="0"/>
        </w:tblPrEx>
        <w:trPr>
          <w:trHeight w:val="235"/>
          <w:jc w:val="center"/>
        </w:trPr>
        <w:tc>
          <w:tcPr>
            <w:tcW w:w="2660" w:type="dxa"/>
            <w:vAlign w:val="center"/>
          </w:tcPr>
          <w:p w:rsidR="00D726C2" w:rsidRPr="00966737" w:rsidRDefault="00D726C2" w:rsidP="00EE6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Porphyromonas gingivalis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5,46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±0,28*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±0,19*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6,73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±0,34*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2,31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±0,12</w:t>
            </w:r>
          </w:p>
        </w:tc>
      </w:tr>
      <w:tr w:rsidR="00D726C2" w:rsidRPr="00966737" w:rsidTr="00EE6B01">
        <w:tblPrEx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2660" w:type="dxa"/>
            <w:vAlign w:val="center"/>
          </w:tcPr>
          <w:p w:rsidR="00D726C2" w:rsidRPr="00966737" w:rsidRDefault="00D726C2" w:rsidP="00EE6B01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Veyllonelly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2,65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±0,14*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2,21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±0,12</w:t>
            </w:r>
          </w:p>
        </w:tc>
        <w:tc>
          <w:tcPr>
            <w:tcW w:w="1559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3,09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±0,16*</w:t>
            </w:r>
          </w:p>
        </w:tc>
        <w:tc>
          <w:tcPr>
            <w:tcW w:w="1701" w:type="dxa"/>
            <w:vAlign w:val="center"/>
          </w:tcPr>
          <w:p w:rsidR="00D726C2" w:rsidRPr="00966737" w:rsidRDefault="00D726C2" w:rsidP="00EE6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1,94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±0,10</w:t>
            </w:r>
          </w:p>
        </w:tc>
      </w:tr>
    </w:tbl>
    <w:p w:rsidR="003D13E5" w:rsidRPr="00777374" w:rsidRDefault="002F1C2C" w:rsidP="00EE6B01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Примітка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: * </w:t>
      </w:r>
      <w:r w:rsidR="00777374" w:rsidRPr="00E762E1">
        <w:t>–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здорових дітей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(p&lt;0,05)</w:t>
      </w:r>
      <w:r w:rsidR="007773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E6B01" w:rsidRPr="00966737" w:rsidRDefault="00EE6B01" w:rsidP="00EE6B01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D13E5" w:rsidRPr="00777374" w:rsidRDefault="002F1C2C" w:rsidP="00777374">
      <w:pPr>
        <w:pStyle w:val="12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порівняння характеру біоценозу зубного нальоту </w:t>
      </w:r>
      <w:r w:rsidR="00FE173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дітей у період рецидив</w:t>
      </w:r>
      <w:r w:rsidR="00FB729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гострого лімфобластного лейкозу показують зменшення представників резиден</w:t>
      </w:r>
      <w:r w:rsidR="00777374">
        <w:rPr>
          <w:sz w:val="28"/>
          <w:szCs w:val="28"/>
          <w:lang w:val="uk-UA"/>
        </w:rPr>
        <w:t>тної флори та значне збільшення</w:t>
      </w:r>
      <w:r>
        <w:rPr>
          <w:sz w:val="28"/>
          <w:szCs w:val="28"/>
          <w:lang w:val="uk-UA"/>
        </w:rPr>
        <w:t xml:space="preserve"> як частоти реєстрації, так і кількості грибів роду </w:t>
      </w:r>
      <w:r w:rsidR="003D13E5" w:rsidRPr="00777374">
        <w:rPr>
          <w:i/>
          <w:sz w:val="28"/>
          <w:szCs w:val="28"/>
        </w:rPr>
        <w:t>Candida</w:t>
      </w:r>
      <w:r w:rsidR="003D13E5" w:rsidRPr="00777374">
        <w:rPr>
          <w:sz w:val="28"/>
          <w:szCs w:val="28"/>
          <w:lang w:val="uk-UA"/>
        </w:rPr>
        <w:t xml:space="preserve"> (</w:t>
      </w:r>
      <w:r w:rsidR="005635BE">
        <w:rPr>
          <w:rFonts w:eastAsia="Times New Roman"/>
          <w:sz w:val="28"/>
          <w:szCs w:val="28"/>
          <w:lang w:val="uk-UA"/>
        </w:rPr>
        <w:t>6</w:t>
      </w:r>
      <w:r w:rsidR="003D13E5" w:rsidRPr="00777374">
        <w:rPr>
          <w:rFonts w:eastAsia="Times New Roman"/>
          <w:sz w:val="28"/>
          <w:szCs w:val="28"/>
          <w:lang w:val="uk-UA"/>
        </w:rPr>
        <w:t>,</w:t>
      </w:r>
      <w:r w:rsidR="005635BE">
        <w:rPr>
          <w:rFonts w:eastAsia="Times New Roman"/>
          <w:sz w:val="28"/>
          <w:szCs w:val="28"/>
          <w:lang w:val="uk-UA"/>
        </w:rPr>
        <w:t>82</w:t>
      </w:r>
      <w:r w:rsidR="003D13E5" w:rsidRPr="00777374">
        <w:rPr>
          <w:rFonts w:eastAsia="Times New Roman"/>
          <w:sz w:val="28"/>
          <w:szCs w:val="28"/>
          <w:lang w:val="uk-UA"/>
        </w:rPr>
        <w:t xml:space="preserve"> </w:t>
      </w:r>
      <w:r w:rsidR="003D13E5" w:rsidRPr="00777374">
        <w:rPr>
          <w:sz w:val="28"/>
          <w:szCs w:val="28"/>
          <w:lang w:val="uk-UA"/>
        </w:rPr>
        <w:t>± 0,</w:t>
      </w:r>
      <w:r w:rsidR="005635BE">
        <w:rPr>
          <w:sz w:val="28"/>
          <w:szCs w:val="28"/>
          <w:lang w:val="uk-UA"/>
        </w:rPr>
        <w:t>35</w:t>
      </w:r>
      <w:r w:rsidR="003D13E5" w:rsidRPr="00777374">
        <w:rPr>
          <w:sz w:val="28"/>
          <w:szCs w:val="28"/>
          <w:lang w:val="uk-UA"/>
        </w:rPr>
        <w:t xml:space="preserve"> </w:t>
      </w:r>
      <w:r w:rsidR="003D13E5" w:rsidRPr="00966737">
        <w:rPr>
          <w:rFonts w:eastAsia="Times New Roman"/>
          <w:sz w:val="28"/>
          <w:szCs w:val="28"/>
        </w:rPr>
        <w:t>lg</w:t>
      </w:r>
      <w:r w:rsidR="003D13E5" w:rsidRPr="00777374">
        <w:rPr>
          <w:rFonts w:eastAsia="Times New Roman"/>
          <w:sz w:val="28"/>
          <w:szCs w:val="28"/>
          <w:lang w:val="uk-UA"/>
        </w:rPr>
        <w:t xml:space="preserve"> К</w:t>
      </w:r>
      <w:r>
        <w:rPr>
          <w:rFonts w:eastAsia="Times New Roman"/>
          <w:sz w:val="28"/>
          <w:szCs w:val="28"/>
          <w:lang w:val="uk-UA"/>
        </w:rPr>
        <w:t>У</w:t>
      </w:r>
      <w:r w:rsidR="00777374">
        <w:rPr>
          <w:rFonts w:eastAsia="Times New Roman"/>
          <w:sz w:val="28"/>
          <w:szCs w:val="28"/>
          <w:lang w:val="uk-UA"/>
        </w:rPr>
        <w:t>О/</w:t>
      </w:r>
      <w:r w:rsidR="003D13E5" w:rsidRPr="00777374">
        <w:rPr>
          <w:rFonts w:eastAsia="Times New Roman"/>
          <w:sz w:val="28"/>
          <w:szCs w:val="28"/>
          <w:lang w:val="uk-UA"/>
        </w:rPr>
        <w:t>см</w:t>
      </w:r>
      <w:r w:rsidR="003D13E5" w:rsidRPr="00777374">
        <w:rPr>
          <w:rFonts w:eastAsia="Times New Roman"/>
          <w:sz w:val="28"/>
          <w:szCs w:val="28"/>
          <w:vertAlign w:val="superscript"/>
          <w:lang w:val="uk-UA"/>
        </w:rPr>
        <w:t xml:space="preserve">2 </w:t>
      </w:r>
      <w:r w:rsidR="003D13E5" w:rsidRPr="00777374">
        <w:rPr>
          <w:rFonts w:eastAsia="Times New Roman"/>
          <w:sz w:val="28"/>
          <w:szCs w:val="28"/>
          <w:lang w:val="uk-UA"/>
        </w:rPr>
        <w:t xml:space="preserve">), </w:t>
      </w:r>
      <w:r>
        <w:rPr>
          <w:rFonts w:eastAsia="Times New Roman"/>
          <w:sz w:val="28"/>
          <w:szCs w:val="28"/>
          <w:lang w:val="uk-UA"/>
        </w:rPr>
        <w:t>що, вірогідно, пов</w:t>
      </w:r>
      <w:r w:rsidR="00777374" w:rsidRPr="00777374">
        <w:rPr>
          <w:rFonts w:eastAsia="Times New Roman"/>
          <w:sz w:val="28"/>
          <w:szCs w:val="28"/>
        </w:rPr>
        <w:t>’</w:t>
      </w:r>
      <w:r>
        <w:rPr>
          <w:rFonts w:eastAsia="Times New Roman"/>
          <w:sz w:val="28"/>
          <w:szCs w:val="28"/>
          <w:lang w:val="uk-UA"/>
        </w:rPr>
        <w:t>язане з прийомом великої кількості хіміопрепаратів та антибактеріальних препаратів дітьми з онкозахворюванням</w:t>
      </w:r>
      <w:r w:rsidR="003D13E5" w:rsidRPr="00777374">
        <w:rPr>
          <w:rFonts w:eastAsia="Times New Roman"/>
          <w:sz w:val="28"/>
          <w:szCs w:val="28"/>
          <w:lang w:val="uk-UA"/>
        </w:rPr>
        <w:t xml:space="preserve">. </w:t>
      </w:r>
    </w:p>
    <w:p w:rsidR="003D13E5" w:rsidRPr="00777374" w:rsidRDefault="002F1C2C" w:rsidP="00D72B38">
      <w:pPr>
        <w:pStyle w:val="12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  <w:lang w:val="uk-UA" w:eastAsia="de-DE"/>
        </w:rPr>
      </w:pPr>
      <w:r>
        <w:rPr>
          <w:sz w:val="28"/>
          <w:szCs w:val="28"/>
          <w:lang w:val="uk-UA"/>
        </w:rPr>
        <w:lastRenderedPageBreak/>
        <w:t xml:space="preserve">Аналізуючи видовий склад грибів роду </w:t>
      </w:r>
      <w:r w:rsidR="003D13E5" w:rsidRPr="00966737">
        <w:rPr>
          <w:sz w:val="28"/>
          <w:szCs w:val="28"/>
          <w:lang w:eastAsia="de-DE"/>
        </w:rPr>
        <w:t>Candida</w:t>
      </w:r>
      <w:r w:rsidR="003D13E5" w:rsidRPr="00777374">
        <w:rPr>
          <w:sz w:val="28"/>
          <w:szCs w:val="28"/>
          <w:lang w:val="uk-UA" w:eastAsia="de-DE"/>
        </w:rPr>
        <w:t xml:space="preserve">, </w:t>
      </w:r>
      <w:r>
        <w:rPr>
          <w:sz w:val="28"/>
          <w:szCs w:val="28"/>
          <w:lang w:val="uk-UA" w:eastAsia="de-DE"/>
        </w:rPr>
        <w:t xml:space="preserve">слід відзначити, що у </w:t>
      </w:r>
      <w:r w:rsidR="00FB729A">
        <w:rPr>
          <w:sz w:val="28"/>
          <w:szCs w:val="28"/>
          <w:lang w:val="uk-UA"/>
        </w:rPr>
        <w:t>83</w:t>
      </w:r>
      <w:r w:rsidR="003D13E5" w:rsidRPr="00777374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випадк</w:t>
      </w:r>
      <w:r w:rsidR="00FB729A">
        <w:rPr>
          <w:sz w:val="28"/>
          <w:szCs w:val="28"/>
          <w:lang w:val="uk-UA"/>
        </w:rPr>
        <w:t xml:space="preserve">ах </w:t>
      </w:r>
      <w:r>
        <w:rPr>
          <w:sz w:val="28"/>
          <w:szCs w:val="28"/>
          <w:lang w:val="uk-UA"/>
        </w:rPr>
        <w:t xml:space="preserve">виявлявся </w:t>
      </w:r>
      <w:r w:rsidR="003D13E5" w:rsidRPr="00966737">
        <w:rPr>
          <w:sz w:val="28"/>
          <w:szCs w:val="28"/>
          <w:lang w:eastAsia="de-DE"/>
        </w:rPr>
        <w:t>Candida</w:t>
      </w:r>
      <w:r w:rsidR="003D13E5" w:rsidRPr="00777374">
        <w:rPr>
          <w:sz w:val="28"/>
          <w:szCs w:val="28"/>
          <w:lang w:val="uk-UA" w:eastAsia="de-DE"/>
        </w:rPr>
        <w:t xml:space="preserve"> </w:t>
      </w:r>
      <w:r w:rsidR="003D13E5" w:rsidRPr="00966737">
        <w:rPr>
          <w:sz w:val="28"/>
          <w:szCs w:val="28"/>
          <w:lang w:eastAsia="de-DE"/>
        </w:rPr>
        <w:t>albicans</w:t>
      </w:r>
      <w:r w:rsidR="003D13E5" w:rsidRPr="00777374">
        <w:rPr>
          <w:sz w:val="28"/>
          <w:szCs w:val="28"/>
          <w:lang w:val="uk-UA" w:eastAsia="de-DE"/>
        </w:rPr>
        <w:t xml:space="preserve">, </w:t>
      </w:r>
      <w:r w:rsidR="003D13E5" w:rsidRPr="00777374">
        <w:rPr>
          <w:sz w:val="28"/>
          <w:szCs w:val="28"/>
          <w:lang w:val="uk-UA"/>
        </w:rPr>
        <w:t xml:space="preserve">у 35 % </w:t>
      </w:r>
      <w:r>
        <w:rPr>
          <w:sz w:val="28"/>
          <w:szCs w:val="28"/>
          <w:lang w:val="uk-UA"/>
        </w:rPr>
        <w:t>дітей</w:t>
      </w:r>
      <w:r w:rsidR="003D13E5" w:rsidRPr="00777374">
        <w:rPr>
          <w:sz w:val="28"/>
          <w:szCs w:val="28"/>
          <w:lang w:val="uk-UA"/>
        </w:rPr>
        <w:t xml:space="preserve"> - </w:t>
      </w:r>
      <w:r w:rsidR="003D13E5" w:rsidRPr="00966737">
        <w:rPr>
          <w:sz w:val="28"/>
          <w:szCs w:val="28"/>
          <w:lang w:eastAsia="de-DE"/>
        </w:rPr>
        <w:t>Candida</w:t>
      </w:r>
      <w:r w:rsidR="003D13E5" w:rsidRPr="00777374">
        <w:rPr>
          <w:sz w:val="28"/>
          <w:szCs w:val="28"/>
          <w:lang w:val="uk-UA" w:eastAsia="de-DE"/>
        </w:rPr>
        <w:t xml:space="preserve"> </w:t>
      </w:r>
      <w:r w:rsidR="003D13E5" w:rsidRPr="00966737">
        <w:rPr>
          <w:sz w:val="28"/>
          <w:szCs w:val="28"/>
          <w:lang w:eastAsia="de-DE"/>
        </w:rPr>
        <w:t>tropicalis</w:t>
      </w:r>
      <w:r w:rsidR="003D13E5" w:rsidRPr="0077737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достатньо часто виділявся </w:t>
      </w:r>
      <w:r w:rsidR="003D13E5" w:rsidRPr="00966737">
        <w:rPr>
          <w:sz w:val="28"/>
          <w:szCs w:val="28"/>
          <w:lang w:eastAsia="de-DE"/>
        </w:rPr>
        <w:t>Candida</w:t>
      </w:r>
      <w:r w:rsidR="003D13E5" w:rsidRPr="00777374">
        <w:rPr>
          <w:sz w:val="28"/>
          <w:szCs w:val="28"/>
          <w:lang w:val="uk-UA" w:eastAsia="de-DE"/>
        </w:rPr>
        <w:t xml:space="preserve"> </w:t>
      </w:r>
      <w:r w:rsidR="003D13E5" w:rsidRPr="00966737">
        <w:rPr>
          <w:sz w:val="28"/>
          <w:szCs w:val="28"/>
          <w:lang w:eastAsia="de-DE"/>
        </w:rPr>
        <w:t>guillimondii</w:t>
      </w:r>
      <w:r w:rsidR="003D13E5" w:rsidRPr="00777374">
        <w:rPr>
          <w:sz w:val="28"/>
          <w:szCs w:val="28"/>
          <w:lang w:val="uk-UA" w:eastAsia="de-DE"/>
        </w:rPr>
        <w:t xml:space="preserve">, </w:t>
      </w:r>
      <w:r>
        <w:rPr>
          <w:sz w:val="28"/>
          <w:szCs w:val="28"/>
          <w:lang w:val="uk-UA" w:eastAsia="de-DE"/>
        </w:rPr>
        <w:t>рідко висі</w:t>
      </w:r>
      <w:r w:rsidR="00FB729A">
        <w:rPr>
          <w:sz w:val="28"/>
          <w:szCs w:val="28"/>
          <w:lang w:val="uk-UA" w:eastAsia="de-DE"/>
        </w:rPr>
        <w:t>вались</w:t>
      </w:r>
      <w:r w:rsidR="00777374">
        <w:rPr>
          <w:sz w:val="28"/>
          <w:szCs w:val="28"/>
          <w:lang w:val="uk-UA" w:eastAsia="de-DE"/>
        </w:rPr>
        <w:t xml:space="preserve"> </w:t>
      </w:r>
      <w:r w:rsidR="003D13E5" w:rsidRPr="00966737">
        <w:rPr>
          <w:sz w:val="28"/>
          <w:szCs w:val="28"/>
          <w:lang w:eastAsia="de-DE"/>
        </w:rPr>
        <w:t>Candida</w:t>
      </w:r>
      <w:r w:rsidR="003D13E5" w:rsidRPr="00777374">
        <w:rPr>
          <w:sz w:val="28"/>
          <w:szCs w:val="28"/>
          <w:lang w:val="uk-UA" w:eastAsia="de-DE"/>
        </w:rPr>
        <w:t xml:space="preserve"> </w:t>
      </w:r>
      <w:r w:rsidR="003D13E5" w:rsidRPr="00966737">
        <w:rPr>
          <w:sz w:val="28"/>
          <w:szCs w:val="28"/>
          <w:lang w:eastAsia="de-DE"/>
        </w:rPr>
        <w:t>krusei</w:t>
      </w:r>
      <w:r w:rsidR="003D13E5" w:rsidRPr="00777374">
        <w:rPr>
          <w:sz w:val="28"/>
          <w:szCs w:val="28"/>
          <w:lang w:val="uk-UA" w:eastAsia="de-DE"/>
        </w:rPr>
        <w:t xml:space="preserve"> </w:t>
      </w:r>
      <w:r>
        <w:rPr>
          <w:sz w:val="28"/>
          <w:szCs w:val="28"/>
          <w:lang w:val="uk-UA" w:eastAsia="de-DE"/>
        </w:rPr>
        <w:t>та</w:t>
      </w:r>
      <w:r w:rsidR="00777374">
        <w:rPr>
          <w:sz w:val="28"/>
          <w:szCs w:val="28"/>
          <w:lang w:val="uk-UA" w:eastAsia="de-DE"/>
        </w:rPr>
        <w:t xml:space="preserve"> </w:t>
      </w:r>
      <w:r w:rsidR="003D13E5" w:rsidRPr="00966737">
        <w:rPr>
          <w:sz w:val="28"/>
          <w:szCs w:val="28"/>
          <w:lang w:eastAsia="de-DE"/>
        </w:rPr>
        <w:t>Candida</w:t>
      </w:r>
      <w:r w:rsidR="003D13E5" w:rsidRPr="00777374">
        <w:rPr>
          <w:sz w:val="28"/>
          <w:szCs w:val="28"/>
          <w:lang w:val="uk-UA" w:eastAsia="de-DE"/>
        </w:rPr>
        <w:t xml:space="preserve"> </w:t>
      </w:r>
      <w:r w:rsidR="003D13E5" w:rsidRPr="00966737">
        <w:rPr>
          <w:sz w:val="28"/>
          <w:szCs w:val="28"/>
          <w:lang w:eastAsia="de-DE"/>
        </w:rPr>
        <w:t>pseudotropicalis</w:t>
      </w:r>
      <w:r w:rsidR="003D13E5" w:rsidRPr="00777374">
        <w:rPr>
          <w:sz w:val="28"/>
          <w:szCs w:val="28"/>
          <w:lang w:val="uk-UA" w:eastAsia="de-DE"/>
        </w:rPr>
        <w:t>.</w:t>
      </w:r>
    </w:p>
    <w:p w:rsidR="003D13E5" w:rsidRPr="00FD1D07" w:rsidRDefault="00FE173B" w:rsidP="00FE173B">
      <w:pPr>
        <w:pStyle w:val="12"/>
        <w:shd w:val="clear" w:color="auto" w:fill="auto"/>
        <w:spacing w:before="0" w:after="0" w:line="360" w:lineRule="auto"/>
        <w:ind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F1C2C">
        <w:rPr>
          <w:sz w:val="28"/>
          <w:szCs w:val="28"/>
          <w:lang w:val="uk-UA"/>
        </w:rPr>
        <w:t>Досліджуючи групу дітей під час загострення гострого лімфобластного лейкозу спостерігали значні зміни мікрофлори зубного нальоту як у якісн</w:t>
      </w:r>
      <w:r w:rsidR="002F1C2C">
        <w:rPr>
          <w:sz w:val="28"/>
          <w:szCs w:val="28"/>
          <w:lang w:val="uk-UA"/>
        </w:rPr>
        <w:t>о</w:t>
      </w:r>
      <w:r w:rsidR="002F1C2C">
        <w:rPr>
          <w:sz w:val="28"/>
          <w:szCs w:val="28"/>
          <w:lang w:val="uk-UA"/>
        </w:rPr>
        <w:t xml:space="preserve">му, так і </w:t>
      </w:r>
      <w:r>
        <w:rPr>
          <w:sz w:val="28"/>
          <w:szCs w:val="28"/>
          <w:lang w:val="uk-UA"/>
        </w:rPr>
        <w:t>в</w:t>
      </w:r>
      <w:r w:rsidR="002F1C2C">
        <w:rPr>
          <w:sz w:val="28"/>
          <w:szCs w:val="28"/>
          <w:lang w:val="uk-UA"/>
        </w:rPr>
        <w:t xml:space="preserve"> кількісному відношенн</w:t>
      </w:r>
      <w:r w:rsidR="00AF3164">
        <w:rPr>
          <w:sz w:val="28"/>
          <w:szCs w:val="28"/>
          <w:lang w:val="uk-UA"/>
        </w:rPr>
        <w:t>і</w:t>
      </w:r>
      <w:r w:rsidR="002F1C2C">
        <w:rPr>
          <w:sz w:val="28"/>
          <w:szCs w:val="28"/>
          <w:lang w:val="uk-UA"/>
        </w:rPr>
        <w:t xml:space="preserve">. Виявлення </w:t>
      </w:r>
      <w:r>
        <w:rPr>
          <w:sz w:val="28"/>
          <w:szCs w:val="28"/>
          <w:lang w:val="uk-UA"/>
        </w:rPr>
        <w:t xml:space="preserve"> </w:t>
      </w:r>
      <w:r w:rsidR="002F1C2C">
        <w:rPr>
          <w:sz w:val="28"/>
          <w:szCs w:val="28"/>
          <w:lang w:val="uk-UA"/>
        </w:rPr>
        <w:t>представників</w:t>
      </w:r>
      <w:r>
        <w:rPr>
          <w:sz w:val="28"/>
          <w:szCs w:val="28"/>
          <w:lang w:val="uk-UA"/>
        </w:rPr>
        <w:t xml:space="preserve"> </w:t>
      </w:r>
      <w:r w:rsidR="002F1C2C">
        <w:rPr>
          <w:sz w:val="28"/>
          <w:szCs w:val="28"/>
          <w:lang w:val="uk-UA"/>
        </w:rPr>
        <w:t xml:space="preserve"> патогенної кишкової</w:t>
      </w:r>
      <w:r>
        <w:rPr>
          <w:sz w:val="28"/>
          <w:szCs w:val="28"/>
          <w:lang w:val="uk-UA"/>
        </w:rPr>
        <w:t xml:space="preserve"> </w:t>
      </w:r>
      <w:r w:rsidR="002F1C2C">
        <w:rPr>
          <w:sz w:val="28"/>
          <w:szCs w:val="28"/>
          <w:lang w:val="uk-UA"/>
        </w:rPr>
        <w:t xml:space="preserve"> мікрофлори </w:t>
      </w:r>
      <w:r>
        <w:rPr>
          <w:sz w:val="28"/>
          <w:szCs w:val="28"/>
          <w:lang w:val="uk-UA"/>
        </w:rPr>
        <w:t xml:space="preserve"> </w:t>
      </w:r>
      <w:r w:rsidR="002F1C2C">
        <w:rPr>
          <w:sz w:val="28"/>
          <w:szCs w:val="28"/>
          <w:lang w:val="uk-UA"/>
        </w:rPr>
        <w:t>у великій</w:t>
      </w:r>
      <w:r>
        <w:rPr>
          <w:sz w:val="28"/>
          <w:szCs w:val="28"/>
          <w:lang w:val="uk-UA"/>
        </w:rPr>
        <w:t xml:space="preserve"> </w:t>
      </w:r>
      <w:r w:rsidR="002F1C2C">
        <w:rPr>
          <w:sz w:val="28"/>
          <w:szCs w:val="28"/>
          <w:lang w:val="uk-UA"/>
        </w:rPr>
        <w:t xml:space="preserve"> кількості </w:t>
      </w:r>
      <w:r>
        <w:rPr>
          <w:sz w:val="28"/>
          <w:szCs w:val="28"/>
          <w:lang w:val="uk-UA"/>
        </w:rPr>
        <w:t xml:space="preserve"> </w:t>
      </w:r>
      <w:r w:rsidR="000D1B86">
        <w:rPr>
          <w:sz w:val="28"/>
          <w:szCs w:val="28"/>
          <w:lang w:val="uk-UA"/>
        </w:rPr>
        <w:t>в</w:t>
      </w:r>
      <w:r w:rsidR="002F1C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F1C2C">
        <w:rPr>
          <w:sz w:val="28"/>
          <w:szCs w:val="28"/>
          <w:lang w:val="uk-UA"/>
        </w:rPr>
        <w:t xml:space="preserve">порожнині </w:t>
      </w:r>
      <w:r>
        <w:rPr>
          <w:sz w:val="28"/>
          <w:szCs w:val="28"/>
          <w:lang w:val="uk-UA"/>
        </w:rPr>
        <w:t xml:space="preserve"> </w:t>
      </w:r>
      <w:r w:rsidR="002F1C2C">
        <w:rPr>
          <w:sz w:val="28"/>
          <w:szCs w:val="28"/>
          <w:lang w:val="uk-UA"/>
        </w:rPr>
        <w:t>рота</w:t>
      </w:r>
      <w:r>
        <w:rPr>
          <w:sz w:val="28"/>
          <w:szCs w:val="28"/>
          <w:lang w:val="uk-UA"/>
        </w:rPr>
        <w:t xml:space="preserve"> </w:t>
      </w:r>
      <w:r w:rsidR="002F1C2C">
        <w:rPr>
          <w:sz w:val="28"/>
          <w:szCs w:val="28"/>
          <w:lang w:val="uk-UA"/>
        </w:rPr>
        <w:t xml:space="preserve"> є ознакою розвитку патологічних процесів макроорганізму. Так, </w:t>
      </w:r>
      <w:r w:rsidR="003D13E5" w:rsidRPr="00966737">
        <w:rPr>
          <w:rFonts w:eastAsia="Times New Roman"/>
          <w:sz w:val="28"/>
          <w:szCs w:val="28"/>
        </w:rPr>
        <w:t>Enterococus</w:t>
      </w:r>
      <w:r w:rsidR="00777374">
        <w:rPr>
          <w:rFonts w:eastAsia="Times New Roman"/>
          <w:sz w:val="28"/>
          <w:szCs w:val="28"/>
          <w:lang w:val="uk-UA"/>
        </w:rPr>
        <w:t xml:space="preserve"> </w:t>
      </w:r>
      <w:r w:rsidR="002F1C2C">
        <w:rPr>
          <w:rFonts w:eastAsia="Times New Roman"/>
          <w:sz w:val="28"/>
          <w:szCs w:val="28"/>
          <w:lang w:val="uk-UA"/>
        </w:rPr>
        <w:t xml:space="preserve">висівався у </w:t>
      </w:r>
      <w:r w:rsidR="003D13E5" w:rsidRPr="002F1C2C">
        <w:rPr>
          <w:rFonts w:eastAsia="Times New Roman"/>
          <w:sz w:val="28"/>
          <w:szCs w:val="28"/>
          <w:lang w:val="uk-UA"/>
        </w:rPr>
        <w:t xml:space="preserve">25 (71,4 %) </w:t>
      </w:r>
      <w:r w:rsidR="002F1C2C">
        <w:rPr>
          <w:rFonts w:eastAsia="Times New Roman"/>
          <w:sz w:val="28"/>
          <w:szCs w:val="28"/>
          <w:lang w:val="uk-UA"/>
        </w:rPr>
        <w:t>дітей</w:t>
      </w:r>
      <w:r w:rsidR="003D13E5" w:rsidRPr="002F1C2C">
        <w:rPr>
          <w:rFonts w:eastAsia="Times New Roman"/>
          <w:sz w:val="28"/>
          <w:szCs w:val="28"/>
          <w:lang w:val="uk-UA"/>
        </w:rPr>
        <w:t xml:space="preserve">, а </w:t>
      </w:r>
      <w:r w:rsidR="003D13E5" w:rsidRPr="00966737">
        <w:rPr>
          <w:sz w:val="28"/>
          <w:szCs w:val="28"/>
        </w:rPr>
        <w:t>Escherichiacoli</w:t>
      </w:r>
      <w:r w:rsidR="00777374">
        <w:rPr>
          <w:sz w:val="28"/>
          <w:szCs w:val="28"/>
          <w:lang w:val="uk-UA"/>
        </w:rPr>
        <w:t xml:space="preserve"> </w:t>
      </w:r>
      <w:r w:rsidR="00777374" w:rsidRPr="00777374">
        <w:rPr>
          <w:lang w:val="uk-UA"/>
        </w:rPr>
        <w:t>–</w:t>
      </w:r>
      <w:r w:rsidR="003D13E5" w:rsidRPr="002F1C2C">
        <w:rPr>
          <w:sz w:val="28"/>
          <w:szCs w:val="28"/>
          <w:lang w:val="uk-UA"/>
        </w:rPr>
        <w:t xml:space="preserve"> </w:t>
      </w:r>
      <w:r w:rsidR="002F1C2C">
        <w:rPr>
          <w:sz w:val="28"/>
          <w:szCs w:val="28"/>
          <w:lang w:val="uk-UA"/>
        </w:rPr>
        <w:t>у всіх дітей даної групи у середній кіл</w:t>
      </w:r>
      <w:r w:rsidR="002F1C2C">
        <w:rPr>
          <w:sz w:val="28"/>
          <w:szCs w:val="28"/>
          <w:lang w:val="uk-UA"/>
        </w:rPr>
        <w:t>ь</w:t>
      </w:r>
      <w:r w:rsidR="002F1C2C">
        <w:rPr>
          <w:sz w:val="28"/>
          <w:szCs w:val="28"/>
          <w:lang w:val="uk-UA"/>
        </w:rPr>
        <w:t>кості</w:t>
      </w:r>
      <w:r w:rsidR="00AF3164">
        <w:rPr>
          <w:sz w:val="28"/>
          <w:szCs w:val="28"/>
          <w:lang w:val="uk-UA"/>
        </w:rPr>
        <w:t xml:space="preserve"> </w:t>
      </w:r>
      <w:r w:rsidR="003D13E5" w:rsidRPr="002F1C2C">
        <w:rPr>
          <w:rFonts w:eastAsia="Times New Roman"/>
          <w:sz w:val="28"/>
          <w:szCs w:val="28"/>
          <w:lang w:val="uk-UA"/>
        </w:rPr>
        <w:t xml:space="preserve">1,54 </w:t>
      </w:r>
      <w:r w:rsidR="003D13E5" w:rsidRPr="002F1C2C">
        <w:rPr>
          <w:sz w:val="28"/>
          <w:szCs w:val="28"/>
          <w:lang w:val="uk-UA"/>
        </w:rPr>
        <w:t xml:space="preserve">± 0,08 </w:t>
      </w:r>
      <w:r w:rsidR="003D13E5" w:rsidRPr="00966737">
        <w:rPr>
          <w:rFonts w:eastAsia="Times New Roman"/>
          <w:sz w:val="28"/>
          <w:szCs w:val="28"/>
        </w:rPr>
        <w:t>lg</w:t>
      </w:r>
      <w:r w:rsidR="003D13E5" w:rsidRPr="002F1C2C">
        <w:rPr>
          <w:rFonts w:eastAsia="Times New Roman"/>
          <w:sz w:val="28"/>
          <w:szCs w:val="28"/>
          <w:lang w:val="uk-UA"/>
        </w:rPr>
        <w:t xml:space="preserve"> К</w:t>
      </w:r>
      <w:r w:rsidR="002F1C2C">
        <w:rPr>
          <w:rFonts w:eastAsia="Times New Roman"/>
          <w:sz w:val="28"/>
          <w:szCs w:val="28"/>
          <w:lang w:val="uk-UA"/>
        </w:rPr>
        <w:t>У</w:t>
      </w:r>
      <w:r w:rsidR="00777374">
        <w:rPr>
          <w:rFonts w:eastAsia="Times New Roman"/>
          <w:sz w:val="28"/>
          <w:szCs w:val="28"/>
          <w:lang w:val="uk-UA"/>
        </w:rPr>
        <w:t>О/</w:t>
      </w:r>
      <w:r w:rsidR="003D13E5" w:rsidRPr="002F1C2C">
        <w:rPr>
          <w:rFonts w:eastAsia="Times New Roman"/>
          <w:sz w:val="28"/>
          <w:szCs w:val="28"/>
          <w:lang w:val="uk-UA"/>
        </w:rPr>
        <w:t>см</w:t>
      </w:r>
      <w:r w:rsidR="003D13E5" w:rsidRPr="002F1C2C">
        <w:rPr>
          <w:rFonts w:eastAsia="Times New Roman"/>
          <w:sz w:val="28"/>
          <w:szCs w:val="28"/>
          <w:vertAlign w:val="superscript"/>
          <w:lang w:val="uk-UA"/>
        </w:rPr>
        <w:t xml:space="preserve">2 </w:t>
      </w:r>
      <w:r w:rsidR="003D13E5" w:rsidRPr="002F1C2C">
        <w:rPr>
          <w:sz w:val="28"/>
          <w:szCs w:val="28"/>
          <w:lang w:val="uk-UA"/>
        </w:rPr>
        <w:t xml:space="preserve">(табл. </w:t>
      </w:r>
      <w:r w:rsidR="003D13E5" w:rsidRPr="00FD1D07">
        <w:rPr>
          <w:sz w:val="28"/>
          <w:szCs w:val="28"/>
          <w:lang w:val="uk-UA"/>
        </w:rPr>
        <w:t>4.2).</w:t>
      </w:r>
    </w:p>
    <w:p w:rsidR="003D13E5" w:rsidRPr="002F1C2C" w:rsidRDefault="00FE173B" w:rsidP="00FE173B">
      <w:pPr>
        <w:pStyle w:val="12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F1C2C">
        <w:rPr>
          <w:sz w:val="28"/>
          <w:szCs w:val="28"/>
          <w:lang w:val="uk-UA"/>
        </w:rPr>
        <w:t>Мікрофлора зубного нальоту дітей під час рецидиву ГЛЛ зазнає крити</w:t>
      </w:r>
      <w:r w:rsidR="002F1C2C">
        <w:rPr>
          <w:sz w:val="28"/>
          <w:szCs w:val="28"/>
          <w:lang w:val="uk-UA"/>
        </w:rPr>
        <w:t>ч</w:t>
      </w:r>
      <w:r w:rsidR="002F1C2C">
        <w:rPr>
          <w:sz w:val="28"/>
          <w:szCs w:val="28"/>
          <w:lang w:val="uk-UA"/>
        </w:rPr>
        <w:t xml:space="preserve">них змін з розвитком декомпенсованого дисбактеріозу в результаті зниження загального та місцевого імунітету </w:t>
      </w:r>
      <w:r>
        <w:rPr>
          <w:sz w:val="28"/>
          <w:szCs w:val="28"/>
          <w:lang w:val="uk-UA"/>
        </w:rPr>
        <w:t>в</w:t>
      </w:r>
      <w:r w:rsidR="002F1C2C">
        <w:rPr>
          <w:sz w:val="28"/>
          <w:szCs w:val="28"/>
          <w:lang w:val="uk-UA"/>
        </w:rPr>
        <w:t xml:space="preserve"> цих дітей. </w:t>
      </w:r>
      <w:r w:rsidR="008C6F60">
        <w:rPr>
          <w:sz w:val="28"/>
          <w:szCs w:val="28"/>
          <w:lang w:val="uk-UA"/>
        </w:rPr>
        <w:t>У даної</w:t>
      </w:r>
      <w:r w:rsidR="002F1C2C">
        <w:rPr>
          <w:sz w:val="28"/>
          <w:szCs w:val="28"/>
          <w:lang w:val="uk-UA"/>
        </w:rPr>
        <w:t xml:space="preserve"> груп</w:t>
      </w:r>
      <w:r w:rsidR="008C6F60">
        <w:rPr>
          <w:sz w:val="28"/>
          <w:szCs w:val="28"/>
          <w:lang w:val="uk-UA"/>
        </w:rPr>
        <w:t>и</w:t>
      </w:r>
      <w:r w:rsidR="002F1C2C">
        <w:rPr>
          <w:sz w:val="28"/>
          <w:szCs w:val="28"/>
          <w:lang w:val="uk-UA"/>
        </w:rPr>
        <w:t xml:space="preserve"> дітей спостер</w:t>
      </w:r>
      <w:r w:rsidR="002F1C2C">
        <w:rPr>
          <w:sz w:val="28"/>
          <w:szCs w:val="28"/>
          <w:lang w:val="uk-UA"/>
        </w:rPr>
        <w:t>і</w:t>
      </w:r>
      <w:r w:rsidR="002F1C2C">
        <w:rPr>
          <w:sz w:val="28"/>
          <w:szCs w:val="28"/>
          <w:lang w:val="uk-UA"/>
        </w:rPr>
        <w:t>гається збільшення загальної кількості бактерій, кількості патогенних форм, стійкість до антибіотиків</w:t>
      </w:r>
      <w:r w:rsidR="003D13E5" w:rsidRPr="002F1C2C">
        <w:rPr>
          <w:sz w:val="28"/>
          <w:szCs w:val="28"/>
          <w:lang w:val="uk-UA"/>
        </w:rPr>
        <w:t>.</w:t>
      </w:r>
    </w:p>
    <w:p w:rsidR="00D72B38" w:rsidRPr="002F1C2C" w:rsidRDefault="002F1C2C" w:rsidP="00D72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таблиці </w:t>
      </w:r>
      <w:r w:rsidR="00D72B38" w:rsidRPr="008C6F60">
        <w:rPr>
          <w:rFonts w:ascii="Times New Roman" w:hAnsi="Times New Roman" w:cs="Times New Roman"/>
          <w:sz w:val="28"/>
          <w:szCs w:val="28"/>
          <w:lang w:val="uk-UA"/>
        </w:rPr>
        <w:t xml:space="preserve">4.3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відображені </w:t>
      </w:r>
      <w:r w:rsidR="007E0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цифрові значення мікробного пейзажу зуб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ясенного </w:t>
      </w:r>
      <w:r w:rsidR="008C6F60" w:rsidRPr="008C6F60">
        <w:rPr>
          <w:rFonts w:ascii="Times New Roman" w:hAnsi="Times New Roman" w:cs="Times New Roman"/>
          <w:sz w:val="28"/>
          <w:szCs w:val="28"/>
          <w:lang w:val="uk-UA"/>
        </w:rPr>
        <w:t>жо</w:t>
      </w:r>
      <w:r w:rsidRPr="008C6F60">
        <w:rPr>
          <w:rFonts w:ascii="Times New Roman" w:hAnsi="Times New Roman" w:cs="Times New Roman"/>
          <w:sz w:val="28"/>
          <w:szCs w:val="28"/>
          <w:lang w:val="uk-UA"/>
        </w:rPr>
        <w:t>лобк</w:t>
      </w:r>
      <w:r w:rsidR="008C6F60" w:rsidRPr="008C6F6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(ясенної рідини) </w:t>
      </w:r>
      <w:r w:rsidR="007E0D2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7E0D2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різні періоди гострого лімфобл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стного лейкоз</w:t>
      </w:r>
      <w:r w:rsidR="008C6F6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. Спектр мікроорганізмів у ясенній рідині представлений 11 родами та одним сімейством ентеробактерій. У кількісному відношенні пер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важають анаероби. Кількість вейлонел, порфіромонад, стрептококів та дрі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джоподібних грибів достовірно пер</w:t>
      </w:r>
      <w:r w:rsidR="00F2127C">
        <w:rPr>
          <w:rFonts w:ascii="Times New Roman" w:hAnsi="Times New Roman" w:cs="Times New Roman"/>
          <w:sz w:val="28"/>
          <w:szCs w:val="28"/>
          <w:lang w:val="uk-UA"/>
        </w:rPr>
        <w:t>евищувала в усі</w:t>
      </w:r>
      <w:r>
        <w:rPr>
          <w:rFonts w:ascii="Times New Roman" w:hAnsi="Times New Roman" w:cs="Times New Roman"/>
          <w:sz w:val="28"/>
          <w:szCs w:val="28"/>
          <w:lang w:val="uk-UA"/>
        </w:rPr>
        <w:t>х обс</w:t>
      </w:r>
      <w:r w:rsidR="007E0D21">
        <w:rPr>
          <w:rFonts w:ascii="Times New Roman" w:hAnsi="Times New Roman" w:cs="Times New Roman"/>
          <w:sz w:val="28"/>
          <w:szCs w:val="28"/>
          <w:lang w:val="uk-UA"/>
        </w:rPr>
        <w:t xml:space="preserve">тежених групах дітей порівняно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E0D2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здоровими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 xml:space="preserve"> (р &lt; 0,05).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актиноміцетів склала 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2,8 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 xml:space="preserve">± 0,14 </w:t>
      </w:r>
      <w:r w:rsidR="00D72B38" w:rsidRPr="00966737">
        <w:rPr>
          <w:rFonts w:ascii="Times New Roman" w:eastAsia="Times New Roman" w:hAnsi="Times New Roman" w:cs="Times New Roman"/>
          <w:sz w:val="28"/>
          <w:szCs w:val="28"/>
        </w:rPr>
        <w:t>lg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77374">
        <w:rPr>
          <w:rFonts w:ascii="Times New Roman" w:eastAsia="Times New Roman" w:hAnsi="Times New Roman" w:cs="Times New Roman"/>
          <w:sz w:val="28"/>
          <w:szCs w:val="28"/>
          <w:lang w:val="uk-UA"/>
        </w:rPr>
        <w:t>О/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дітей у перший гострий період ГЛЛ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2,7 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 xml:space="preserve">± 0,14 </w:t>
      </w:r>
      <w:r w:rsidR="00D72B38" w:rsidRPr="00966737">
        <w:rPr>
          <w:rFonts w:ascii="Times New Roman" w:eastAsia="Times New Roman" w:hAnsi="Times New Roman" w:cs="Times New Roman"/>
          <w:sz w:val="28"/>
          <w:szCs w:val="28"/>
        </w:rPr>
        <w:t>lg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77374">
        <w:rPr>
          <w:rFonts w:ascii="Times New Roman" w:eastAsia="Times New Roman" w:hAnsi="Times New Roman" w:cs="Times New Roman"/>
          <w:sz w:val="28"/>
          <w:szCs w:val="28"/>
          <w:lang w:val="uk-UA"/>
        </w:rPr>
        <w:t>О/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мл </w:t>
      </w:r>
      <w:r w:rsidR="00777374" w:rsidRPr="00777374">
        <w:rPr>
          <w:lang w:val="uk-UA"/>
        </w:rPr>
        <w:t>–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ріод ремісії ГЛЛ та 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3,7 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 xml:space="preserve">± 0,19 </w:t>
      </w:r>
      <w:r w:rsidR="00D72B38" w:rsidRPr="00966737">
        <w:rPr>
          <w:rFonts w:ascii="Times New Roman" w:eastAsia="Times New Roman" w:hAnsi="Times New Roman" w:cs="Times New Roman"/>
          <w:sz w:val="28"/>
          <w:szCs w:val="28"/>
        </w:rPr>
        <w:t>lg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77374">
        <w:rPr>
          <w:rFonts w:ascii="Times New Roman" w:eastAsia="Times New Roman" w:hAnsi="Times New Roman" w:cs="Times New Roman"/>
          <w:sz w:val="28"/>
          <w:szCs w:val="28"/>
          <w:lang w:val="uk-UA"/>
        </w:rPr>
        <w:t>О/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>мл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374" w:rsidRPr="00777374">
        <w:rPr>
          <w:lang w:val="uk-UA"/>
        </w:rPr>
        <w:t>–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період рецидиву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Число лактоб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цил та сапрофітних нейсерій достовірно знизилося вже в період ремісії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0,72 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 xml:space="preserve">± 0,04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2,9 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 xml:space="preserve">± 0,15 </w:t>
      </w:r>
      <w:r w:rsidR="00D72B38" w:rsidRPr="00966737">
        <w:rPr>
          <w:rFonts w:ascii="Times New Roman" w:eastAsia="Times New Roman" w:hAnsi="Times New Roman" w:cs="Times New Roman"/>
          <w:sz w:val="28"/>
          <w:szCs w:val="28"/>
        </w:rPr>
        <w:t>lg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77374">
        <w:rPr>
          <w:rFonts w:ascii="Times New Roman" w:eastAsia="Times New Roman" w:hAnsi="Times New Roman" w:cs="Times New Roman"/>
          <w:sz w:val="28"/>
          <w:szCs w:val="28"/>
          <w:lang w:val="uk-UA"/>
        </w:rPr>
        <w:t>О/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мл),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під час рецидиву досягло мінімальних зн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чень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(0,61 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 xml:space="preserve">± 0,31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77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2,5 </w:t>
      </w:r>
      <w:r w:rsidR="00D72B38" w:rsidRPr="002F1C2C">
        <w:rPr>
          <w:rFonts w:ascii="Times New Roman" w:hAnsi="Times New Roman" w:cs="Times New Roman"/>
          <w:sz w:val="28"/>
          <w:szCs w:val="28"/>
          <w:lang w:val="uk-UA"/>
        </w:rPr>
        <w:t xml:space="preserve">± 0,13 </w:t>
      </w:r>
      <w:r w:rsidR="00D72B38" w:rsidRPr="00966737">
        <w:rPr>
          <w:rFonts w:ascii="Times New Roman" w:eastAsia="Times New Roman" w:hAnsi="Times New Roman" w:cs="Times New Roman"/>
          <w:sz w:val="28"/>
          <w:szCs w:val="28"/>
        </w:rPr>
        <w:t>lg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77374">
        <w:rPr>
          <w:rFonts w:ascii="Times New Roman" w:eastAsia="Times New Roman" w:hAnsi="Times New Roman" w:cs="Times New Roman"/>
          <w:sz w:val="28"/>
          <w:szCs w:val="28"/>
          <w:lang w:val="uk-UA"/>
        </w:rPr>
        <w:t>О/</w:t>
      </w:r>
      <w:r w:rsidR="00D72B38" w:rsidRPr="002F1C2C">
        <w:rPr>
          <w:rFonts w:ascii="Times New Roman" w:eastAsia="Times New Roman" w:hAnsi="Times New Roman" w:cs="Times New Roman"/>
          <w:sz w:val="28"/>
          <w:szCs w:val="28"/>
          <w:lang w:val="uk-UA"/>
        </w:rPr>
        <w:t>мл).</w:t>
      </w:r>
    </w:p>
    <w:p w:rsidR="003D13E5" w:rsidRPr="002F1C2C" w:rsidRDefault="003D13E5" w:rsidP="003D1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374" w:rsidRDefault="00777374" w:rsidP="00D72B3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2B38" w:rsidRPr="00FD1D07" w:rsidRDefault="003D13E5" w:rsidP="00D72B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D1D0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</w:t>
      </w:r>
      <w:r w:rsidR="002F1C2C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FD1D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4.3</w:t>
      </w:r>
    </w:p>
    <w:p w:rsidR="00D72B38" w:rsidRPr="00A965BA" w:rsidRDefault="002F1C2C" w:rsidP="00D72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65BA">
        <w:rPr>
          <w:rFonts w:ascii="Times New Roman" w:hAnsi="Times New Roman" w:cs="Times New Roman"/>
          <w:sz w:val="28"/>
          <w:szCs w:val="28"/>
          <w:lang w:val="uk-UA"/>
        </w:rPr>
        <w:t xml:space="preserve">Мікробіоценоз зубоясенного </w:t>
      </w:r>
      <w:r w:rsidR="0073622F" w:rsidRPr="00A965BA">
        <w:rPr>
          <w:rFonts w:ascii="Times New Roman" w:hAnsi="Times New Roman" w:cs="Times New Roman"/>
          <w:sz w:val="28"/>
          <w:szCs w:val="28"/>
          <w:lang w:val="uk-UA"/>
        </w:rPr>
        <w:t>жо</w:t>
      </w:r>
      <w:r w:rsidRPr="00A965BA">
        <w:rPr>
          <w:rFonts w:ascii="Times New Roman" w:hAnsi="Times New Roman" w:cs="Times New Roman"/>
          <w:sz w:val="28"/>
          <w:szCs w:val="28"/>
          <w:lang w:val="uk-UA"/>
        </w:rPr>
        <w:t>лобка (ясенної рідини) практично здорових дітей та дітей з ГЛЛ</w:t>
      </w:r>
      <w:r w:rsidR="00D72B38" w:rsidRPr="00A96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2B38" w:rsidRPr="00A965BA">
        <w:rPr>
          <w:rFonts w:ascii="Times New Roman" w:eastAsia="Times New Roman" w:hAnsi="Times New Roman" w:cs="Times New Roman"/>
          <w:sz w:val="28"/>
          <w:szCs w:val="28"/>
        </w:rPr>
        <w:t>lg</w:t>
      </w:r>
      <w:r w:rsidR="00D72B38" w:rsidRPr="00A96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Pr="00A965B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72B38" w:rsidRPr="00A96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О/мл </w:t>
      </w:r>
      <w:r w:rsidR="00D72B38" w:rsidRPr="00A965B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72B38" w:rsidRPr="00A965BA">
        <w:rPr>
          <w:rFonts w:ascii="Times New Roman" w:hAnsi="Times New Roman" w:cs="Times New Roman"/>
          <w:sz w:val="28"/>
          <w:szCs w:val="28"/>
        </w:rPr>
        <w:t>M</w:t>
      </w:r>
      <w:r w:rsidR="00D72B38" w:rsidRPr="00A965BA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D72B38" w:rsidRPr="00A965BA">
        <w:rPr>
          <w:rFonts w:ascii="Times New Roman" w:hAnsi="Times New Roman" w:cs="Times New Roman"/>
          <w:sz w:val="28"/>
          <w:szCs w:val="28"/>
        </w:rPr>
        <w:t>m</w:t>
      </w:r>
      <w:r w:rsidR="00D72B38" w:rsidRPr="00A965B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1552"/>
        <w:gridCol w:w="1510"/>
        <w:gridCol w:w="1510"/>
        <w:gridCol w:w="1464"/>
      </w:tblGrid>
      <w:tr w:rsidR="003D13E5" w:rsidRPr="00966737" w:rsidTr="00D72B38">
        <w:trPr>
          <w:trHeight w:val="958"/>
          <w:jc w:val="center"/>
        </w:trPr>
        <w:tc>
          <w:tcPr>
            <w:tcW w:w="3144" w:type="dxa"/>
            <w:vAlign w:val="center"/>
          </w:tcPr>
          <w:p w:rsidR="003D13E5" w:rsidRPr="002F1C2C" w:rsidRDefault="002F1C2C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Виділені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мікроорганізми</w:t>
            </w:r>
          </w:p>
        </w:tc>
        <w:tc>
          <w:tcPr>
            <w:tcW w:w="1552" w:type="dxa"/>
            <w:vAlign w:val="center"/>
          </w:tcPr>
          <w:p w:rsidR="003D13E5" w:rsidRPr="002F1C2C" w:rsidRDefault="002F1C2C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Гострий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період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2F1C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 w:rsidR="002F1C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F1C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Рецидив</w:t>
            </w:r>
          </w:p>
        </w:tc>
        <w:tc>
          <w:tcPr>
            <w:tcW w:w="1464" w:type="dxa"/>
            <w:vAlign w:val="center"/>
          </w:tcPr>
          <w:p w:rsidR="003D13E5" w:rsidRPr="002F1C2C" w:rsidRDefault="002F1C2C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діти</w:t>
            </w:r>
          </w:p>
        </w:tc>
      </w:tr>
      <w:tr w:rsidR="003D13E5" w:rsidRPr="00966737" w:rsidTr="00D72B38">
        <w:trPr>
          <w:trHeight w:val="284"/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Lactobacillus spp.</w:t>
            </w:r>
          </w:p>
        </w:tc>
        <w:tc>
          <w:tcPr>
            <w:tcW w:w="1552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±0,11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0,72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±0,04*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0,61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±0,31*</w:t>
            </w:r>
          </w:p>
        </w:tc>
        <w:tc>
          <w:tcPr>
            <w:tcW w:w="1464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2,4 ± 0,12</w:t>
            </w:r>
          </w:p>
        </w:tc>
      </w:tr>
      <w:tr w:rsidR="003D13E5" w:rsidRPr="00966737" w:rsidTr="00D72B38">
        <w:trPr>
          <w:trHeight w:val="269"/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Neisseria spp.</w:t>
            </w:r>
          </w:p>
        </w:tc>
        <w:tc>
          <w:tcPr>
            <w:tcW w:w="1552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±0,18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±0,15*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±0,13*</w:t>
            </w:r>
          </w:p>
        </w:tc>
        <w:tc>
          <w:tcPr>
            <w:tcW w:w="1464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3,7 ± 0,19</w:t>
            </w:r>
          </w:p>
        </w:tc>
      </w:tr>
      <w:tr w:rsidR="003D13E5" w:rsidRPr="00966737" w:rsidTr="00D72B38">
        <w:trPr>
          <w:trHeight w:val="252"/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Streptococcus spp.</w:t>
            </w:r>
          </w:p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+ Streptococcus mutants</w:t>
            </w:r>
          </w:p>
        </w:tc>
        <w:tc>
          <w:tcPr>
            <w:tcW w:w="1552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±0,40*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±0,27*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±0,42*</w:t>
            </w:r>
          </w:p>
        </w:tc>
        <w:tc>
          <w:tcPr>
            <w:tcW w:w="1464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4,2 ± 0,22</w:t>
            </w:r>
          </w:p>
        </w:tc>
      </w:tr>
      <w:tr w:rsidR="003D13E5" w:rsidRPr="00966737" w:rsidTr="00D72B38">
        <w:trPr>
          <w:trHeight w:val="301"/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Prevotella intermedia</w:t>
            </w:r>
          </w:p>
        </w:tc>
        <w:tc>
          <w:tcPr>
            <w:tcW w:w="1552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±0,15*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±0,12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±0,20*</w:t>
            </w:r>
          </w:p>
        </w:tc>
        <w:tc>
          <w:tcPr>
            <w:tcW w:w="1464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2,2 ± 0,12</w:t>
            </w:r>
          </w:p>
        </w:tc>
      </w:tr>
      <w:tr w:rsidR="003D13E5" w:rsidRPr="00966737" w:rsidTr="00D72B38">
        <w:trPr>
          <w:trHeight w:val="397"/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Bacteroides forsythus</w:t>
            </w:r>
          </w:p>
        </w:tc>
        <w:tc>
          <w:tcPr>
            <w:tcW w:w="1552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±0,19*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±0,15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±0,21*</w:t>
            </w:r>
          </w:p>
        </w:tc>
        <w:tc>
          <w:tcPr>
            <w:tcW w:w="1464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2,8 ± 0,15</w:t>
            </w:r>
          </w:p>
        </w:tc>
      </w:tr>
      <w:tr w:rsidR="003D13E5" w:rsidRPr="00966737" w:rsidTr="00D72B38">
        <w:trPr>
          <w:trHeight w:val="461"/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Candida 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 xml:space="preserve"> albicans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±0,15*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±0,19*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±0,20*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2,2 ± 0,12</w:t>
            </w:r>
          </w:p>
        </w:tc>
      </w:tr>
      <w:tr w:rsidR="003D13E5" w:rsidRPr="00966737" w:rsidTr="00D72B38">
        <w:tblPrEx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3144" w:type="dxa"/>
            <w:vAlign w:val="center"/>
          </w:tcPr>
          <w:p w:rsidR="003D13E5" w:rsidRPr="00966737" w:rsidRDefault="003D13E5" w:rsidP="00D72B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Actinobacillus actinomycetemcomitans</w:t>
            </w:r>
          </w:p>
        </w:tc>
        <w:tc>
          <w:tcPr>
            <w:tcW w:w="1552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±0,14*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±0,14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±0,19*</w:t>
            </w:r>
          </w:p>
        </w:tc>
        <w:tc>
          <w:tcPr>
            <w:tcW w:w="1464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2,3 ± 0,13</w:t>
            </w:r>
          </w:p>
        </w:tc>
      </w:tr>
      <w:tr w:rsidR="003D13E5" w:rsidRPr="00966737" w:rsidTr="00D72B38">
        <w:tblPrEx>
          <w:tblLook w:val="0000" w:firstRow="0" w:lastRow="0" w:firstColumn="0" w:lastColumn="0" w:noHBand="0" w:noVBand="0"/>
        </w:tblPrEx>
        <w:trPr>
          <w:trHeight w:val="402"/>
          <w:jc w:val="center"/>
        </w:trPr>
        <w:tc>
          <w:tcPr>
            <w:tcW w:w="3144" w:type="dxa"/>
            <w:vAlign w:val="center"/>
          </w:tcPr>
          <w:p w:rsidR="003D13E5" w:rsidRPr="00966737" w:rsidRDefault="003D13E5" w:rsidP="00D72B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Treponema denticola</w:t>
            </w:r>
          </w:p>
        </w:tc>
        <w:tc>
          <w:tcPr>
            <w:tcW w:w="1552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±0,10*</w:t>
            </w:r>
          </w:p>
        </w:tc>
        <w:tc>
          <w:tcPr>
            <w:tcW w:w="1464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3E5" w:rsidRPr="00966737" w:rsidTr="00D72B38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144" w:type="dxa"/>
            <w:vAlign w:val="center"/>
          </w:tcPr>
          <w:p w:rsidR="003D13E5" w:rsidRPr="00966737" w:rsidRDefault="003D13E5" w:rsidP="00D72B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Enterobacteriaceae</w:t>
            </w:r>
          </w:p>
        </w:tc>
        <w:tc>
          <w:tcPr>
            <w:tcW w:w="1552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±0,09*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±0,08*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±0,14*</w:t>
            </w:r>
          </w:p>
        </w:tc>
        <w:tc>
          <w:tcPr>
            <w:tcW w:w="1464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1,1 ± 0,06</w:t>
            </w:r>
          </w:p>
        </w:tc>
      </w:tr>
      <w:tr w:rsidR="003D13E5" w:rsidRPr="00966737" w:rsidTr="00D72B38">
        <w:tblPrEx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3144" w:type="dxa"/>
            <w:vAlign w:val="center"/>
          </w:tcPr>
          <w:p w:rsidR="003D13E5" w:rsidRPr="00966737" w:rsidRDefault="003D13E5" w:rsidP="00D72B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Stomatococcus spp.</w:t>
            </w:r>
          </w:p>
        </w:tc>
        <w:tc>
          <w:tcPr>
            <w:tcW w:w="1552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±0,17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±0,11*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±0,10*</w:t>
            </w:r>
          </w:p>
        </w:tc>
        <w:tc>
          <w:tcPr>
            <w:tcW w:w="1464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3,7 ± 0,19</w:t>
            </w:r>
          </w:p>
        </w:tc>
      </w:tr>
      <w:tr w:rsidR="003D13E5" w:rsidRPr="00966737" w:rsidTr="00D72B38">
        <w:tblPrEx>
          <w:tblLook w:val="0000" w:firstRow="0" w:lastRow="0" w:firstColumn="0" w:lastColumn="0" w:noHBand="0" w:noVBand="0"/>
        </w:tblPrEx>
        <w:trPr>
          <w:trHeight w:val="235"/>
          <w:jc w:val="center"/>
        </w:trPr>
        <w:tc>
          <w:tcPr>
            <w:tcW w:w="3144" w:type="dxa"/>
            <w:vAlign w:val="center"/>
          </w:tcPr>
          <w:p w:rsidR="003D13E5" w:rsidRPr="00966737" w:rsidRDefault="003D13E5" w:rsidP="00D72B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Porphyromonas gingivalis</w:t>
            </w:r>
          </w:p>
        </w:tc>
        <w:tc>
          <w:tcPr>
            <w:tcW w:w="1552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±0,25*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±0,24*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±0,30*</w:t>
            </w:r>
          </w:p>
        </w:tc>
        <w:tc>
          <w:tcPr>
            <w:tcW w:w="1464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2,3 ± 0,13</w:t>
            </w:r>
          </w:p>
        </w:tc>
      </w:tr>
      <w:tr w:rsidR="003D13E5" w:rsidRPr="00966737" w:rsidTr="00D72B38">
        <w:tblPrEx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3144" w:type="dxa"/>
            <w:vAlign w:val="center"/>
          </w:tcPr>
          <w:p w:rsidR="003D13E5" w:rsidRPr="00966737" w:rsidRDefault="003D13E5" w:rsidP="00D72B38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Veyllonelly</w:t>
            </w:r>
          </w:p>
        </w:tc>
        <w:tc>
          <w:tcPr>
            <w:tcW w:w="1552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±0,13*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±0,12*</w:t>
            </w:r>
          </w:p>
        </w:tc>
        <w:tc>
          <w:tcPr>
            <w:tcW w:w="1510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±0,15*</w:t>
            </w:r>
          </w:p>
        </w:tc>
        <w:tc>
          <w:tcPr>
            <w:tcW w:w="1464" w:type="dxa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1,9 ± 0,11</w:t>
            </w:r>
          </w:p>
        </w:tc>
      </w:tr>
    </w:tbl>
    <w:p w:rsidR="003D13E5" w:rsidRPr="00777374" w:rsidRDefault="002F1C2C" w:rsidP="00D72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Примітка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: *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показник достовірності відмінностей порівняно з групою здорових дітей 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>(p&lt;0,05)</w:t>
      </w:r>
      <w:r w:rsidR="007773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13E5" w:rsidRPr="00966737" w:rsidRDefault="003D13E5" w:rsidP="00D72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3E5" w:rsidRPr="00966737" w:rsidRDefault="00F846B3" w:rsidP="00D72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мікробіоценозу всіх досліджуваних груп дітей показало, що склад біотопу не змінюється </w:t>
      </w:r>
      <w:r w:rsidR="00EA1C6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різні періоди основного захворювання. Однак, при порівнянні характеру мікробіоценозу ясенної рідини </w:t>
      </w:r>
      <w:r w:rsidR="00EA1C6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з ГЛЛ, вп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рше виявлена 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Treponema denticola </w:t>
      </w:r>
      <w:r>
        <w:rPr>
          <w:rFonts w:ascii="Times New Roman" w:hAnsi="Times New Roman" w:cs="Times New Roman"/>
          <w:sz w:val="28"/>
          <w:szCs w:val="28"/>
          <w:lang w:val="uk-UA"/>
        </w:rPr>
        <w:t>у період рецидиву онкозахворювання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фрові значення 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Treponema denticola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склали </w:t>
      </w:r>
      <w:r w:rsidR="003D13E5" w:rsidRPr="00966737">
        <w:rPr>
          <w:rFonts w:ascii="Times New Roman" w:hAnsi="Times New Roman" w:cs="Times New Roman"/>
          <w:sz w:val="28"/>
          <w:szCs w:val="28"/>
        </w:rPr>
        <w:t>1,9 ± 0,10 lg 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7374">
        <w:rPr>
          <w:rFonts w:ascii="Times New Roman" w:hAnsi="Times New Roman" w:cs="Times New Roman"/>
          <w:sz w:val="28"/>
          <w:szCs w:val="28"/>
        </w:rPr>
        <w:t>О/</w:t>
      </w:r>
      <w:r w:rsidR="003D13E5" w:rsidRPr="00966737">
        <w:rPr>
          <w:rFonts w:ascii="Times New Roman" w:hAnsi="Times New Roman" w:cs="Times New Roman"/>
          <w:sz w:val="28"/>
          <w:szCs w:val="28"/>
        </w:rPr>
        <w:t>мл (табл. 4.3).</w:t>
      </w:r>
    </w:p>
    <w:p w:rsidR="003D13E5" w:rsidRPr="00966737" w:rsidRDefault="00F846B3" w:rsidP="003D1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порівняння характеру біоценозу зубоясенного ж</w:t>
      </w:r>
      <w:r w:rsidR="0065401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лобк</w:t>
      </w:r>
      <w:r w:rsidR="0065401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C6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тей у різні періоди гострого лімфобластного лейкозу показують зменшення представників резидентної флори та значне збільшення як частоти реєстрації, так і кількості грибів роду 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Candida.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Мікроорганізми виділялися </w:t>
      </w:r>
      <w:r w:rsidR="00EA1C6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асоціаціях від </w:t>
      </w:r>
      <w:r w:rsidR="003D13E5" w:rsidRPr="00966737">
        <w:rPr>
          <w:rFonts w:ascii="Times New Roman" w:hAnsi="Times New Roman" w:cs="Times New Roman"/>
          <w:sz w:val="28"/>
          <w:szCs w:val="28"/>
        </w:rPr>
        <w:t>3 до 8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середньому </w:t>
      </w:r>
      <w:r w:rsidR="00777374" w:rsidRPr="00E762E1">
        <w:t>–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5,65 ± 0,31) </w:t>
      </w:r>
      <w:r>
        <w:rPr>
          <w:rFonts w:ascii="Times New Roman" w:hAnsi="Times New Roman" w:cs="Times New Roman"/>
          <w:sz w:val="28"/>
          <w:szCs w:val="28"/>
          <w:lang w:val="uk-UA"/>
        </w:rPr>
        <w:t>родів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</w:p>
    <w:p w:rsidR="003D13E5" w:rsidRPr="00F846B3" w:rsidRDefault="00F846B3" w:rsidP="003D1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зони просвітлення при експрес-діагностиці зразків дітей у пер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 рецидиву ГЛЛ </w:t>
      </w:r>
      <w:r w:rsidR="00777374" w:rsidRPr="00E762E1">
        <w:t>–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11,7 ± 0,59 мм,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відповідає дисбактеріозу 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дітей з гострим лімфобластним лейкозом зміна мікробіоценозу порожнини рота супроводжується збільшенням у всіх вивчених біотопах частоти реєс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рації штамів мікроорганізмів з ознаками патогенності </w:t>
      </w:r>
      <w:r w:rsidR="00EA1C6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різні періоди онкоз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хворювання</w:t>
      </w:r>
      <w:r w:rsidR="003D13E5" w:rsidRPr="00F846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3E5" w:rsidRPr="00FF370D" w:rsidRDefault="00FF370D" w:rsidP="003D1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Рецидив гострого лімфобластного лейкозу призводить до зростання 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стоти реєстраці</w:t>
      </w:r>
      <w:r w:rsidR="0077737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ротовій рідині, зубному нальоті та ясенній рідині грибів роду 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Candida.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ясенній рідині цієї групи дітей відзначене збільшення </w:t>
      </w:r>
      <w:r w:rsidRPr="0065401E">
        <w:rPr>
          <w:rFonts w:ascii="Times New Roman" w:hAnsi="Times New Roman" w:cs="Times New Roman"/>
          <w:sz w:val="28"/>
          <w:szCs w:val="28"/>
          <w:lang w:val="uk-UA"/>
        </w:rPr>
        <w:t>обс</w:t>
      </w:r>
      <w:r w:rsidRPr="006540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401E">
        <w:rPr>
          <w:rFonts w:ascii="Times New Roman" w:hAnsi="Times New Roman" w:cs="Times New Roman"/>
          <w:sz w:val="28"/>
          <w:szCs w:val="28"/>
          <w:lang w:val="uk-UA"/>
        </w:rPr>
        <w:t>меніння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кислотопродукуючими мікроорганізмами при зниженні кількості вейлонел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Встановлений факт частішого виявлення та більш</w:t>
      </w:r>
      <w:r w:rsidR="00EA1C6D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мі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роорганізмів, що мають патогенний потенціал, поява нетипових для біотопів бактерій дозволяє думати про мікробіологічний дисбаланс та про наявність у порожнині рота хворих дітей </w:t>
      </w:r>
      <w:r w:rsidRPr="0089675C">
        <w:rPr>
          <w:rFonts w:ascii="Times New Roman" w:hAnsi="Times New Roman" w:cs="Times New Roman"/>
          <w:sz w:val="28"/>
          <w:szCs w:val="28"/>
          <w:lang w:val="uk-UA"/>
        </w:rPr>
        <w:t>депо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умовно-патогенної мікрофлори, що сприяє активізації процесів демінералізації емалі, зростанню запальних уражень тканин пародонту та СОПР.</w:t>
      </w:r>
    </w:p>
    <w:p w:rsidR="003D13E5" w:rsidRPr="00FF370D" w:rsidRDefault="00FF370D" w:rsidP="003D1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Структурний аналіз видових представників аеробної, анаеробної та грибкової флори </w:t>
      </w:r>
      <w:r w:rsidR="00EA1C6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з онкогематологічними захворюваннями показав, що під час лікування основного захворювання збільшується кількість та підв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щується ступінь заселення умовно-патогенної та патогенної мікрофлори, яка викликає загострення основних стоматологічних захворювань та призводить до їх декомпенсованого перебігу </w:t>
      </w:r>
      <w:r w:rsidR="00EA1C6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рецидиву основного захворювання. Тому на підставі вищезазначених даних необхідно спрямувати профілактичні лікувальні заходи на корекцію мікрофлори ротової порожнини в цілому, 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звернути особ</w:t>
      </w:r>
      <w:r w:rsidR="00777374">
        <w:rPr>
          <w:rFonts w:ascii="Times New Roman" w:hAnsi="Times New Roman" w:cs="Times New Roman"/>
          <w:sz w:val="28"/>
          <w:szCs w:val="28"/>
          <w:lang w:val="uk-UA"/>
        </w:rPr>
        <w:t xml:space="preserve">ливу </w:t>
      </w:r>
      <w:r w:rsidR="00BA157D">
        <w:rPr>
          <w:rFonts w:ascii="Times New Roman" w:hAnsi="Times New Roman" w:cs="Times New Roman"/>
          <w:sz w:val="28"/>
          <w:szCs w:val="28"/>
          <w:lang w:val="uk-UA"/>
        </w:rPr>
        <w:t>увагу на своє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часне видалення зубного нальоту та особисту гігієну кожної дитини </w:t>
      </w:r>
      <w:r w:rsidR="00EA1C6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різні періоди перебігу хвороби</w:t>
      </w:r>
      <w:r w:rsidR="003D13E5" w:rsidRPr="00FF37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A0B" w:rsidRPr="008C403C" w:rsidRDefault="00FF370D" w:rsidP="007A7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картина мікробіоценозу </w:t>
      </w:r>
      <w:r w:rsidR="00EA1C6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порожнині рота </w:t>
      </w:r>
      <w:r w:rsidR="00EA1C6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з онк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захворюванням крові значно відрізняється від такої у здорових людей</w:t>
      </w:r>
      <w:r w:rsidR="003D13E5" w:rsidRPr="00FF37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кількісного та якісного складу мікрофлори порожнини рота </w:t>
      </w:r>
      <w:r w:rsidR="007A3AD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з ГЛЛ свідчить про її різноманітність. При цьому відзначалася перевага умовно-патогенних та патогенних мікроорганізмів, кількість яких достовірно пер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вищувала дані показники сапрофітної мікрофлори. Разом з тим, отримані 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фрові дані мікробіологічних досліджень у дітей з ГЛЛ у період рецидиву 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дчать про значний дисбіоз порожнини рота, який характеризується зни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ням 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ивності компенсаторних реакцій </w:t>
      </w:r>
      <w:r w:rsidR="000D1B8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відсутністю можливостей прот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стояти мікробній агресії </w:t>
      </w:r>
      <w:r w:rsidR="000D1B8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B55080" w:rsidRPr="00B5508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порушенням колонізаційної резистентн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сті, що може відобра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0420B">
        <w:rPr>
          <w:rFonts w:ascii="Times New Roman" w:hAnsi="Times New Roman" w:cs="Times New Roman"/>
          <w:sz w:val="28"/>
          <w:szCs w:val="28"/>
          <w:lang w:val="uk-UA"/>
        </w:rPr>
        <w:t>атися на перебігу та лікуванні основних стоматологі</w:t>
      </w:r>
      <w:r w:rsidR="0000420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0420B">
        <w:rPr>
          <w:rFonts w:ascii="Times New Roman" w:hAnsi="Times New Roman" w:cs="Times New Roman"/>
          <w:sz w:val="28"/>
          <w:szCs w:val="28"/>
          <w:lang w:val="uk-UA"/>
        </w:rPr>
        <w:t>них захворювань</w:t>
      </w:r>
      <w:r w:rsidR="003D13E5" w:rsidRPr="00004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3E5" w:rsidRPr="008C403C" w:rsidRDefault="003D13E5" w:rsidP="007A7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0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042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6737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392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стану місцевого імунітету </w:t>
      </w:r>
      <w:r w:rsidR="00CE15C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92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порожнині рота </w:t>
      </w:r>
      <w:r w:rsidR="00CE15C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92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</w:t>
      </w:r>
      <w:r w:rsidR="0039233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392335">
        <w:rPr>
          <w:rFonts w:ascii="Times New Roman" w:hAnsi="Times New Roman" w:cs="Times New Roman"/>
          <w:b/>
          <w:sz w:val="28"/>
          <w:szCs w:val="28"/>
          <w:lang w:val="uk-UA"/>
        </w:rPr>
        <w:t>рових дітей та дітей, що страждають на гострий лімфобластний лейкоз</w:t>
      </w:r>
      <w:r w:rsidRPr="00966737">
        <w:rPr>
          <w:rFonts w:ascii="Times New Roman" w:hAnsi="Times New Roman" w:cs="Times New Roman"/>
          <w:b/>
          <w:sz w:val="28"/>
          <w:szCs w:val="28"/>
        </w:rPr>
        <w:t>.</w:t>
      </w:r>
    </w:p>
    <w:p w:rsidR="003D13E5" w:rsidRPr="00966737" w:rsidRDefault="00392335" w:rsidP="00D72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Відомо, що у пацієнтів з лейкозом у результаті їхнього лікування цит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статичними препаратами розвиваються імунодефіцитні стани, зумовлені ім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нологічними порушеннями. Причому страждає не лише загальний, але й 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цевий імунітет порожнини рота, що супроводжується виникненням інфе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ційних процесів у тканинах, що виконують бар</w:t>
      </w:r>
      <w:r w:rsidR="00B55080" w:rsidRPr="00B550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єрну функцію, до яких відн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ситься СОПР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Місцевий імунітет (колонізаційна резистентність)</w:t>
      </w:r>
      <w:r w:rsidR="003D13E5" w:rsidRPr="00392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080" w:rsidRPr="00B55080">
        <w:rPr>
          <w:lang w:val="uk-UA"/>
        </w:rPr>
        <w:t>–</w:t>
      </w:r>
      <w:r w:rsidR="003D13E5" w:rsidRPr="00392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скла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ний комплекс захис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механізмів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різної природи, що сформувався в процесі еволюційного розвитку та забезпечує захист слизових тих органів, які безп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 сполучаються із зовнішнім середовищем</w:t>
      </w:r>
      <w:r w:rsidR="003D13E5" w:rsidRPr="003923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основна функція </w:t>
      </w:r>
      <w:r w:rsidR="00B55080" w:rsidRPr="00B55080">
        <w:rPr>
          <w:lang w:val="uk-UA"/>
        </w:rPr>
        <w:t>–</w:t>
      </w:r>
      <w:r w:rsidR="003D13E5" w:rsidRPr="00392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збереження гомеостазу внутрішнього середовища макроорганізма, тобто він є першим бар</w:t>
      </w:r>
      <w:r w:rsidR="00B55080" w:rsidRPr="00B5508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єром на шляху мікроорганізма та будь-якого антигену</w:t>
      </w:r>
      <w:r w:rsidR="003D13E5" w:rsidRPr="003923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цієї точки зору місцевий імунітет </w:t>
      </w:r>
      <w:r w:rsidR="00B55080" w:rsidRPr="00E762E1">
        <w:t>–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нерозривна частина загального імунітету, і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той же час він складає чітко окреслену та автономну </w:t>
      </w:r>
      <w:r w:rsidR="000D1B8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своїх функціях сист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3E5" w:rsidRPr="005C7C7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C7C7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</w:t>
      </w:r>
      <w:r w:rsidR="003D13E5" w:rsidRPr="005C7C7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="003D13E5" w:rsidRPr="005C7C7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3D13E5" w:rsidRPr="00392335" w:rsidRDefault="00392335" w:rsidP="003D1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оцінки рівня стоматологічного здоров</w:t>
      </w:r>
      <w:r w:rsidR="00B55080" w:rsidRPr="00B550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особливо актуальн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 xml:space="preserve">им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характеру локального імунологічного статусу. Виявлення кіл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кісно-якісних </w:t>
      </w:r>
      <w:r w:rsidR="0016344D">
        <w:rPr>
          <w:rFonts w:ascii="Times New Roman" w:hAnsi="Times New Roman" w:cs="Times New Roman"/>
          <w:sz w:val="28"/>
          <w:szCs w:val="28"/>
          <w:lang w:val="uk-UA"/>
        </w:rPr>
        <w:t>критерії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неспецифічних факторів захисту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порожнині рота визначає адаптивні процеси та є важливою умовою при проведенні лікувал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но-профілактичних заходів</w:t>
      </w:r>
      <w:r w:rsidR="003D13E5" w:rsidRPr="003923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3E5" w:rsidRPr="00966737" w:rsidRDefault="00392335" w:rsidP="003D1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Пригнічення місцевого імунітету порожнини рота впливає як на вини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нення уражень у твердих тканинах зубів, так і на виникнення запалення </w:t>
      </w:r>
      <w:r w:rsidR="000D1B8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тканинах парадонту та слизової оболонки порожнини рота. Ключову роль у системі антимікробного захисту ротової порожнини виконує фермент ліз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цим, 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руйнує бактерії та віруси. Тому, щоб оцінити рівень неспецифічного захисту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обстежених дітей, необхідно отримати уявлення про характер змін лізоциму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ротовій рідині залежно від період</w:t>
      </w:r>
      <w:r w:rsidR="0082328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гострого лімфобластного ле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козу.</w:t>
      </w:r>
    </w:p>
    <w:p w:rsidR="003D13E5" w:rsidRPr="008303DC" w:rsidRDefault="00392335" w:rsidP="0082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дефензини, раніше відомі як лізосомальні катіонні протеїни, є найбільш еволюційно давніми пепт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дами, які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беру</w:t>
      </w:r>
      <w:r>
        <w:rPr>
          <w:rFonts w:ascii="Times New Roman" w:hAnsi="Times New Roman" w:cs="Times New Roman"/>
          <w:sz w:val="28"/>
          <w:szCs w:val="28"/>
          <w:lang w:val="uk-UA"/>
        </w:rPr>
        <w:t>ть участь у неспецифі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ному захист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макроорганізм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інфекційних агентів. Встановлено, що ант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мікробні пепт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ди (АМП) а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ктивують внутрішньо</w:t>
      </w:r>
      <w:r>
        <w:rPr>
          <w:rFonts w:ascii="Times New Roman" w:hAnsi="Times New Roman" w:cs="Times New Roman"/>
          <w:sz w:val="28"/>
          <w:szCs w:val="28"/>
          <w:lang w:val="uk-UA"/>
        </w:rPr>
        <w:t>клітинні механізми, призв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дять до загибелі клітин мікроорганізмів</w:t>
      </w:r>
      <w:r w:rsidR="003D13E5" w:rsidRPr="0039233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C7C7E" w:rsidRPr="0039233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D13E5" w:rsidRPr="00392335">
        <w:rPr>
          <w:rFonts w:ascii="Times New Roman" w:hAnsi="Times New Roman" w:cs="Times New Roman"/>
          <w:sz w:val="28"/>
          <w:szCs w:val="28"/>
          <w:lang w:val="uk-UA"/>
        </w:rPr>
        <w:t xml:space="preserve">1]. </w:t>
      </w:r>
      <w:r>
        <w:rPr>
          <w:rFonts w:ascii="Times New Roman" w:hAnsi="Times New Roman" w:cs="Times New Roman"/>
          <w:sz w:val="28"/>
          <w:szCs w:val="28"/>
          <w:lang w:val="uk-UA"/>
        </w:rPr>
        <w:t>Крім антимікробної функції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АМП мають виражені імуномодулюючі властивості, а також можуть </w:t>
      </w:r>
      <w:r w:rsidRPr="00823289">
        <w:rPr>
          <w:rFonts w:ascii="Times New Roman" w:hAnsi="Times New Roman" w:cs="Times New Roman"/>
          <w:sz w:val="28"/>
          <w:szCs w:val="28"/>
          <w:lang w:val="uk-UA"/>
        </w:rPr>
        <w:t>здій</w:t>
      </w:r>
      <w:r w:rsidRPr="008232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23289">
        <w:rPr>
          <w:rFonts w:ascii="Times New Roman" w:hAnsi="Times New Roman" w:cs="Times New Roman"/>
          <w:sz w:val="28"/>
          <w:szCs w:val="28"/>
          <w:lang w:val="uk-UA"/>
        </w:rPr>
        <w:t>нювати хемотаксичний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 на різні прозапальні клітини, ін</w:t>
      </w:r>
      <w:r w:rsidR="00823289">
        <w:rPr>
          <w:rFonts w:ascii="Times New Roman" w:hAnsi="Times New Roman" w:cs="Times New Roman"/>
          <w:sz w:val="28"/>
          <w:szCs w:val="28"/>
          <w:lang w:val="uk-UA"/>
        </w:rPr>
        <w:t>ду</w:t>
      </w:r>
      <w:r>
        <w:rPr>
          <w:rFonts w:ascii="Times New Roman" w:hAnsi="Times New Roman" w:cs="Times New Roman"/>
          <w:sz w:val="28"/>
          <w:szCs w:val="28"/>
          <w:lang w:val="uk-UA"/>
        </w:rPr>
        <w:t>кувати апо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тоз та здатність репарації тканин</w:t>
      </w:r>
      <w:r w:rsidR="003D13E5" w:rsidRPr="0039233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C7C7E" w:rsidRPr="0039233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D13E5" w:rsidRPr="00392335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="005C7C7E" w:rsidRPr="0039233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D13E5" w:rsidRPr="00392335">
        <w:rPr>
          <w:rFonts w:ascii="Times New Roman" w:hAnsi="Times New Roman" w:cs="Times New Roman"/>
          <w:sz w:val="28"/>
          <w:szCs w:val="28"/>
          <w:lang w:val="uk-UA"/>
        </w:rPr>
        <w:t xml:space="preserve">3]. </w:t>
      </w:r>
      <w:r w:rsidR="003D13E5" w:rsidRPr="008303DC">
        <w:rPr>
          <w:rFonts w:ascii="Times New Roman" w:hAnsi="Times New Roman" w:cs="Times New Roman"/>
          <w:sz w:val="28"/>
          <w:szCs w:val="28"/>
          <w:lang w:val="uk-UA"/>
        </w:rPr>
        <w:t xml:space="preserve">АМП </w:t>
      </w:r>
      <w:r w:rsidR="008303DC">
        <w:rPr>
          <w:rFonts w:ascii="Times New Roman" w:hAnsi="Times New Roman" w:cs="Times New Roman"/>
          <w:sz w:val="28"/>
          <w:szCs w:val="28"/>
          <w:lang w:val="uk-UA"/>
        </w:rPr>
        <w:t xml:space="preserve">відіграють ключову роль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03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взаємозв</w:t>
      </w:r>
      <w:r w:rsidR="00B55080" w:rsidRPr="00B5508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303DC">
        <w:rPr>
          <w:rFonts w:ascii="Times New Roman" w:hAnsi="Times New Roman" w:cs="Times New Roman"/>
          <w:sz w:val="28"/>
          <w:szCs w:val="28"/>
          <w:lang w:val="uk-UA"/>
        </w:rPr>
        <w:t>язку між неспецифічними механізмами захист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у та ада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тивною імунною системою</w:t>
      </w:r>
      <w:r w:rsidR="008303DC">
        <w:rPr>
          <w:rFonts w:ascii="Times New Roman" w:hAnsi="Times New Roman" w:cs="Times New Roman"/>
          <w:sz w:val="28"/>
          <w:szCs w:val="28"/>
          <w:lang w:val="uk-UA"/>
        </w:rPr>
        <w:t xml:space="preserve"> організм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13E5" w:rsidRPr="008303D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C7C7E" w:rsidRPr="008303D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D13E5" w:rsidRPr="008303DC">
        <w:rPr>
          <w:rFonts w:ascii="Times New Roman" w:hAnsi="Times New Roman" w:cs="Times New Roman"/>
          <w:sz w:val="28"/>
          <w:szCs w:val="28"/>
          <w:lang w:val="uk-UA"/>
        </w:rPr>
        <w:t>4].</w:t>
      </w:r>
    </w:p>
    <w:p w:rsidR="003D13E5" w:rsidRPr="00966737" w:rsidRDefault="008303DC" w:rsidP="003D1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людини катіонні 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АМП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представлені двома основними молекулярн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ми сімействами, одне з яких організовано дефензинами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3E5" w:rsidRPr="005C7C7E">
        <w:rPr>
          <w:rFonts w:ascii="Times New Roman" w:hAnsi="Times New Roman" w:cs="Times New Roman"/>
          <w:sz w:val="28"/>
          <w:szCs w:val="28"/>
        </w:rPr>
        <w:t>[</w:t>
      </w:r>
      <w:r w:rsidR="005C7C7E">
        <w:rPr>
          <w:rFonts w:ascii="Times New Roman" w:hAnsi="Times New Roman" w:cs="Times New Roman"/>
          <w:sz w:val="28"/>
          <w:szCs w:val="28"/>
        </w:rPr>
        <w:t>25</w:t>
      </w:r>
      <w:r w:rsidR="003D13E5" w:rsidRPr="005C7C7E">
        <w:rPr>
          <w:rFonts w:ascii="Times New Roman" w:hAnsi="Times New Roman" w:cs="Times New Roman"/>
          <w:sz w:val="28"/>
          <w:szCs w:val="28"/>
        </w:rPr>
        <w:t>5</w:t>
      </w:r>
      <w:r w:rsidR="003D13E5" w:rsidRPr="00966737">
        <w:rPr>
          <w:rFonts w:ascii="Times New Roman" w:hAnsi="Times New Roman" w:cs="Times New Roman"/>
          <w:sz w:val="28"/>
          <w:szCs w:val="28"/>
        </w:rPr>
        <w:t>].</w:t>
      </w:r>
    </w:p>
    <w:p w:rsidR="003D13E5" w:rsidRPr="00966737" w:rsidRDefault="008303DC" w:rsidP="003D1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Антимікробні пептиди ротової порожнини мають високу активність проти карієсогенних бактерій та пародонтопатогенних мікроорганізмів, і тим самим відіграють важливу роль у запобіганні виникненню карієсу зубів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хворювань тканин пародонт</w:t>
      </w:r>
      <w:r w:rsidR="0070662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СОПР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[</w:t>
      </w:r>
      <w:r w:rsidR="005C7C7E">
        <w:rPr>
          <w:rFonts w:ascii="Times New Roman" w:hAnsi="Times New Roman" w:cs="Times New Roman"/>
          <w:sz w:val="28"/>
          <w:szCs w:val="28"/>
        </w:rPr>
        <w:t>25</w:t>
      </w:r>
      <w:r w:rsidR="003D13E5" w:rsidRPr="005C7C7E">
        <w:rPr>
          <w:rFonts w:ascii="Times New Roman" w:hAnsi="Times New Roman" w:cs="Times New Roman"/>
          <w:sz w:val="28"/>
          <w:szCs w:val="28"/>
        </w:rPr>
        <w:t>6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uk-UA"/>
        </w:rPr>
        <w:t>У ротовій порожнині знах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дяться АМП різних класів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[</w:t>
      </w:r>
      <w:r w:rsidR="005C7C7E">
        <w:rPr>
          <w:rFonts w:ascii="Times New Roman" w:hAnsi="Times New Roman" w:cs="Times New Roman"/>
          <w:sz w:val="28"/>
          <w:szCs w:val="28"/>
        </w:rPr>
        <w:t>25</w:t>
      </w:r>
      <w:r w:rsidR="003D13E5" w:rsidRPr="005C7C7E">
        <w:rPr>
          <w:rFonts w:ascii="Times New Roman" w:hAnsi="Times New Roman" w:cs="Times New Roman"/>
          <w:sz w:val="28"/>
          <w:szCs w:val="28"/>
        </w:rPr>
        <w:t>2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uk-UA"/>
        </w:rPr>
        <w:t>Дефензини мають виражену бактерицидну дію до основних бактеріальних інфекційних агентів, які колонізують слизову оболонку порожнини рота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– Streptococcus mutans, Streptococcus sanguis, Fusobacterium nucleatum, Porphyromonas gingivalis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Actinobacillus actinomycetemcomitans [</w:t>
      </w:r>
      <w:r w:rsidR="005C7C7E">
        <w:rPr>
          <w:rFonts w:ascii="Times New Roman" w:hAnsi="Times New Roman" w:cs="Times New Roman"/>
          <w:sz w:val="28"/>
          <w:szCs w:val="28"/>
        </w:rPr>
        <w:t>25</w:t>
      </w:r>
      <w:r w:rsidR="003D13E5" w:rsidRPr="005C7C7E">
        <w:rPr>
          <w:rFonts w:ascii="Times New Roman" w:hAnsi="Times New Roman" w:cs="Times New Roman"/>
          <w:sz w:val="28"/>
          <w:szCs w:val="28"/>
        </w:rPr>
        <w:t>7].</w:t>
      </w:r>
    </w:p>
    <w:p w:rsidR="003D13E5" w:rsidRPr="008303DC" w:rsidRDefault="008303DC" w:rsidP="003D1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Провідним джерелом, що забезпечує достатню концентрацію </w:t>
      </w:r>
      <w:r w:rsidR="003D13E5" w:rsidRPr="00966737">
        <w:rPr>
          <w:rFonts w:ascii="Times New Roman" w:hAnsi="Times New Roman" w:cs="Times New Roman"/>
          <w:sz w:val="28"/>
          <w:szCs w:val="28"/>
        </w:rPr>
        <w:t>α-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дефензинів у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ротовій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рідині, є підщелепні слинні залози, які 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основному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беру</w:t>
      </w:r>
      <w:r>
        <w:rPr>
          <w:rFonts w:ascii="Times New Roman" w:hAnsi="Times New Roman" w:cs="Times New Roman"/>
          <w:sz w:val="28"/>
          <w:szCs w:val="28"/>
          <w:lang w:val="uk-UA"/>
        </w:rPr>
        <w:t>ть участь у продукції нестимульованої слини. Дефіцит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3E5" w:rsidRPr="00966737">
        <w:rPr>
          <w:rFonts w:ascii="Times New Roman" w:hAnsi="Times New Roman" w:cs="Times New Roman"/>
          <w:sz w:val="28"/>
          <w:szCs w:val="28"/>
        </w:rPr>
        <w:t>HNP</w:t>
      </w:r>
      <w:r w:rsidR="003D13E5" w:rsidRPr="008303DC">
        <w:rPr>
          <w:rFonts w:ascii="Times New Roman" w:hAnsi="Times New Roman" w:cs="Times New Roman"/>
          <w:sz w:val="28"/>
          <w:szCs w:val="28"/>
          <w:lang w:val="uk-UA"/>
        </w:rPr>
        <w:t xml:space="preserve">-1, </w:t>
      </w:r>
      <w:r w:rsidR="003D13E5" w:rsidRPr="00966737">
        <w:rPr>
          <w:rFonts w:ascii="Times New Roman" w:hAnsi="Times New Roman" w:cs="Times New Roman"/>
          <w:sz w:val="28"/>
          <w:szCs w:val="28"/>
        </w:rPr>
        <w:t>HNP</w:t>
      </w:r>
      <w:r w:rsidR="003D13E5" w:rsidRPr="008303DC">
        <w:rPr>
          <w:rFonts w:ascii="Times New Roman" w:hAnsi="Times New Roman" w:cs="Times New Roman"/>
          <w:sz w:val="28"/>
          <w:szCs w:val="28"/>
          <w:lang w:val="uk-UA"/>
        </w:rPr>
        <w:t xml:space="preserve">-2, </w:t>
      </w:r>
      <w:r w:rsidR="003D13E5" w:rsidRPr="00966737">
        <w:rPr>
          <w:rFonts w:ascii="Times New Roman" w:hAnsi="Times New Roman" w:cs="Times New Roman"/>
          <w:sz w:val="28"/>
          <w:szCs w:val="28"/>
        </w:rPr>
        <w:t>HNP</w:t>
      </w:r>
      <w:r w:rsidR="003D13E5" w:rsidRPr="008303DC">
        <w:rPr>
          <w:rFonts w:ascii="Times New Roman" w:hAnsi="Times New Roman" w:cs="Times New Roman"/>
          <w:sz w:val="28"/>
          <w:szCs w:val="28"/>
          <w:lang w:val="uk-UA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дозволяє бактеріальним агентам колонізувати поверхню зубної емалі, створюючи мікробну бляшку та слизову оболонку п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орожнини рота, викл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каючи запал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ьні процеси 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ній</w:t>
      </w:r>
      <w:r w:rsidR="003D13E5" w:rsidRPr="008303D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C7C7E" w:rsidRPr="008303D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D13E5" w:rsidRPr="008303DC">
        <w:rPr>
          <w:rFonts w:ascii="Times New Roman" w:hAnsi="Times New Roman" w:cs="Times New Roman"/>
          <w:sz w:val="28"/>
          <w:szCs w:val="28"/>
          <w:lang w:val="uk-UA"/>
        </w:rPr>
        <w:t>8].</w:t>
      </w:r>
    </w:p>
    <w:p w:rsidR="003D13E5" w:rsidRPr="008303DC" w:rsidRDefault="008303DC" w:rsidP="003D1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нами було обране вивчення рівня лізоциму та концентрації </w:t>
      </w:r>
      <w:r w:rsidR="003D13E5" w:rsidRPr="00966737">
        <w:rPr>
          <w:rFonts w:ascii="Times New Roman" w:hAnsi="Times New Roman" w:cs="Times New Roman"/>
          <w:sz w:val="28"/>
          <w:szCs w:val="28"/>
        </w:rPr>
        <w:t>α</w:t>
      </w:r>
      <w:r w:rsidR="003D13E5" w:rsidRPr="008303DC">
        <w:rPr>
          <w:rFonts w:ascii="Times New Roman" w:hAnsi="Times New Roman" w:cs="Times New Roman"/>
          <w:sz w:val="28"/>
          <w:szCs w:val="28"/>
          <w:lang w:val="uk-UA"/>
        </w:rPr>
        <w:t>-дефензин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13E5" w:rsidRPr="008303D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у ротовій рідині дітей з ГЛЛ у різні періоди захворювання</w:t>
      </w:r>
      <w:r w:rsidR="003D13E5" w:rsidRPr="008303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3E5" w:rsidRPr="00966737" w:rsidRDefault="008303DC" w:rsidP="003D13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зазначених компонентів дослідження порожнини рота пре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ставлені у таблицях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3E5" w:rsidRPr="0096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4.4 - 4.5. </w:t>
      </w:r>
    </w:p>
    <w:p w:rsidR="00706622" w:rsidRPr="00CE15C0" w:rsidRDefault="008303DC" w:rsidP="00CE15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факторів неспецифічної резистентності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порожнині рота показало низький вихідний рівень такого показника, як лізоцим, у ротовій рідині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з гострим лімфобластним лейкозом, що, вочевидь, пояснюється порушенням системи антимікробного захисту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виражений низ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кий рівень місцевого імунітету був встановлений у дітей у перший гострий період онкозахворювання та під час його рецидиву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</w:p>
    <w:p w:rsidR="003D13E5" w:rsidRPr="00966737" w:rsidRDefault="003D13E5" w:rsidP="00D72B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66737">
        <w:rPr>
          <w:rFonts w:ascii="Times New Roman" w:hAnsi="Times New Roman" w:cs="Times New Roman"/>
          <w:i/>
          <w:sz w:val="28"/>
          <w:szCs w:val="28"/>
          <w:lang w:eastAsia="en-US"/>
        </w:rPr>
        <w:t>Таблиц</w:t>
      </w:r>
      <w:r w:rsidR="008303DC">
        <w:rPr>
          <w:rFonts w:ascii="Times New Roman" w:hAnsi="Times New Roman" w:cs="Times New Roman"/>
          <w:i/>
          <w:sz w:val="28"/>
          <w:szCs w:val="28"/>
          <w:lang w:val="uk-UA" w:eastAsia="en-US"/>
        </w:rPr>
        <w:t>я</w:t>
      </w:r>
      <w:r w:rsidRPr="0096673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4.4</w:t>
      </w:r>
    </w:p>
    <w:p w:rsidR="003D13E5" w:rsidRDefault="008303DC" w:rsidP="00D72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Показники рівня лізоциму в ротовій рідині практично здорових дітей та дітей з ГЛЛ</w:t>
      </w:r>
      <w:r w:rsidR="003D13E5" w:rsidRPr="0096673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</w:t>
      </w:r>
      <w:r w:rsidR="003D13E5" w:rsidRPr="00966737">
        <w:rPr>
          <w:rFonts w:ascii="Times New Roman" w:hAnsi="Times New Roman" w:cs="Times New Roman"/>
          <w:sz w:val="28"/>
          <w:szCs w:val="28"/>
          <w:lang w:eastAsia="en-US"/>
        </w:rPr>
        <w:t>д/л (M±m)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842"/>
        <w:gridCol w:w="1843"/>
        <w:gridCol w:w="1992"/>
      </w:tblGrid>
      <w:tr w:rsidR="003D13E5" w:rsidRPr="00966737" w:rsidTr="00D72B38">
        <w:trPr>
          <w:trHeight w:val="695"/>
          <w:jc w:val="center"/>
        </w:trPr>
        <w:tc>
          <w:tcPr>
            <w:tcW w:w="2471" w:type="dxa"/>
            <w:shd w:val="clear" w:color="auto" w:fill="auto"/>
            <w:vAlign w:val="center"/>
          </w:tcPr>
          <w:p w:rsidR="003D13E5" w:rsidRPr="008303DC" w:rsidRDefault="008303DC" w:rsidP="00D72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Гострий період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13E5" w:rsidRPr="00966737" w:rsidRDefault="003D13E5" w:rsidP="008303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 w:rsidR="008303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303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ind w:left="1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Рецидив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D13E5" w:rsidRPr="008303DC" w:rsidRDefault="008303DC" w:rsidP="00D72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Здорові діти</w:t>
            </w:r>
          </w:p>
        </w:tc>
      </w:tr>
      <w:tr w:rsidR="003D13E5" w:rsidRPr="00966737" w:rsidTr="00D72B38">
        <w:trPr>
          <w:trHeight w:val="705"/>
          <w:jc w:val="center"/>
        </w:trPr>
        <w:tc>
          <w:tcPr>
            <w:tcW w:w="2471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10,45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±0,53*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13,53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±0,75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9,08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±0,46*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15,81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±0,87</w:t>
            </w:r>
          </w:p>
        </w:tc>
      </w:tr>
    </w:tbl>
    <w:p w:rsidR="003D13E5" w:rsidRPr="00B55080" w:rsidRDefault="008303DC" w:rsidP="00D72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Примітка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: *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із групою здорових дітей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(p&lt;0,05)</w:t>
      </w:r>
      <w:r w:rsidR="00B550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13E5" w:rsidRPr="00966737" w:rsidRDefault="003D13E5" w:rsidP="003D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3E5" w:rsidRPr="00966737" w:rsidRDefault="00F8671A" w:rsidP="003D13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Так, у групі практично здорових дітей рівень лізоциму склав</w:t>
      </w:r>
      <w:r w:rsidR="0074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3E5" w:rsidRPr="0096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15,81 </w:t>
      </w:r>
      <w:r w:rsidR="003D13E5" w:rsidRPr="00966737">
        <w:rPr>
          <w:rFonts w:ascii="Times New Roman" w:hAnsi="Times New Roman" w:cs="Times New Roman"/>
          <w:sz w:val="28"/>
          <w:szCs w:val="28"/>
          <w:lang w:eastAsia="en-US"/>
        </w:rPr>
        <w:t xml:space="preserve">± 0,87 </w:t>
      </w:r>
      <w:r w:rsidR="00FD1D07">
        <w:rPr>
          <w:rFonts w:ascii="Times New Roman" w:hAnsi="Times New Roman" w:cs="Times New Roman"/>
          <w:sz w:val="28"/>
          <w:szCs w:val="28"/>
          <w:lang w:val="uk-UA" w:eastAsia="en-US"/>
        </w:rPr>
        <w:t>о</w:t>
      </w:r>
      <w:r w:rsidR="00B55080">
        <w:rPr>
          <w:rFonts w:ascii="Times New Roman" w:hAnsi="Times New Roman" w:cs="Times New Roman"/>
          <w:sz w:val="28"/>
          <w:szCs w:val="28"/>
        </w:rPr>
        <w:t>д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/л (табл. 4.4), 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що відповідає нормі. Однак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 xml:space="preserve"> у дітей з гострим лімфобл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 xml:space="preserve">стним лейкозом рівень лізоциму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 xml:space="preserve"> ротовій рідині достовірно знижений у гр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пах дітей першого гострого періоду та рецидиву захворювання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(p&lt;0,05). 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 xml:space="preserve">ень показника, що вивчається, склав </w:t>
      </w:r>
      <w:r w:rsidR="003D13E5" w:rsidRPr="0096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10,45 </w:t>
      </w:r>
      <w:r w:rsidR="003D13E5" w:rsidRPr="00966737">
        <w:rPr>
          <w:rFonts w:ascii="Times New Roman" w:hAnsi="Times New Roman" w:cs="Times New Roman"/>
          <w:sz w:val="28"/>
          <w:szCs w:val="28"/>
          <w:lang w:eastAsia="en-US"/>
        </w:rPr>
        <w:t xml:space="preserve">± 0,53 </w:t>
      </w:r>
      <w:r w:rsidR="00FD1D07">
        <w:rPr>
          <w:rFonts w:ascii="Times New Roman" w:hAnsi="Times New Roman" w:cs="Times New Roman"/>
          <w:sz w:val="28"/>
          <w:szCs w:val="28"/>
          <w:lang w:val="uk-UA" w:eastAsia="en-US"/>
        </w:rPr>
        <w:t>о</w:t>
      </w:r>
      <w:r w:rsidR="00B55080">
        <w:rPr>
          <w:rFonts w:ascii="Times New Roman" w:hAnsi="Times New Roman" w:cs="Times New Roman"/>
          <w:sz w:val="28"/>
          <w:szCs w:val="28"/>
        </w:rPr>
        <w:t>д/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л 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у дітей у перший го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 xml:space="preserve">трий період онкозахворювання крові та </w:t>
      </w:r>
      <w:r w:rsidR="003D13E5" w:rsidRPr="0096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9,08 </w:t>
      </w:r>
      <w:r w:rsidR="003D13E5" w:rsidRPr="00966737">
        <w:rPr>
          <w:rFonts w:ascii="Times New Roman" w:hAnsi="Times New Roman" w:cs="Times New Roman"/>
          <w:sz w:val="28"/>
          <w:szCs w:val="28"/>
          <w:lang w:eastAsia="en-US"/>
        </w:rPr>
        <w:t xml:space="preserve">± 0,46 </w:t>
      </w:r>
      <w:r w:rsidR="00FD1D07">
        <w:rPr>
          <w:rFonts w:ascii="Times New Roman" w:hAnsi="Times New Roman" w:cs="Times New Roman"/>
          <w:sz w:val="28"/>
          <w:szCs w:val="28"/>
          <w:lang w:val="uk-UA" w:eastAsia="en-US"/>
        </w:rPr>
        <w:t>о</w:t>
      </w:r>
      <w:r w:rsidR="00B55080">
        <w:rPr>
          <w:rFonts w:ascii="Times New Roman" w:hAnsi="Times New Roman" w:cs="Times New Roman"/>
          <w:sz w:val="28"/>
          <w:szCs w:val="28"/>
        </w:rPr>
        <w:t>д/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л </w:t>
      </w:r>
      <w:r w:rsidR="00B55080" w:rsidRPr="00E762E1">
        <w:t>–</w:t>
      </w:r>
      <w:r w:rsidR="00B55080">
        <w:rPr>
          <w:lang w:val="uk-UA"/>
        </w:rPr>
        <w:t xml:space="preserve"> 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у період рецидив</w:t>
      </w:r>
      <w:r w:rsidR="00747F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 xml:space="preserve"> ГЛЛ.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 xml:space="preserve"> стадії ремісії захворювання показник місцевої неспецифічної рези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D1D07">
        <w:rPr>
          <w:rFonts w:ascii="Times New Roman" w:hAnsi="Times New Roman" w:cs="Times New Roman"/>
          <w:sz w:val="28"/>
          <w:szCs w:val="28"/>
          <w:lang w:val="uk-UA"/>
        </w:rPr>
        <w:t>тентності покращується, однак не досягає норми</w:t>
      </w:r>
      <w:r w:rsidR="003D13E5" w:rsidRPr="00966737">
        <w:rPr>
          <w:rFonts w:ascii="Times New Roman" w:hAnsi="Times New Roman" w:cs="Times New Roman"/>
          <w:sz w:val="28"/>
        </w:rPr>
        <w:t>.</w:t>
      </w:r>
    </w:p>
    <w:p w:rsidR="003D13E5" w:rsidRPr="00966737" w:rsidRDefault="00FD1D07" w:rsidP="003D1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функціонального зв</w:t>
      </w:r>
      <w:r w:rsidR="00B55080" w:rsidRPr="00B550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лізоциму з системою імунітету та метаболічними процесами дозволяє об</w:t>
      </w:r>
      <w:r w:rsidR="00CE15C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рунтувати його роль у забезпеченні природної толерантності організм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генетично чуж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дних агентів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</w:p>
    <w:p w:rsidR="001C21BD" w:rsidRPr="00CE15C0" w:rsidRDefault="00FD1D07" w:rsidP="00CE15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цифрових даних другого показника неспецифічної резистентн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сті порожнини рота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– α-</w:t>
      </w:r>
      <w:r>
        <w:rPr>
          <w:rFonts w:ascii="Times New Roman" w:hAnsi="Times New Roman" w:cs="Times New Roman"/>
          <w:sz w:val="28"/>
          <w:szCs w:val="28"/>
          <w:lang w:val="uk-UA"/>
        </w:rPr>
        <w:t>дефензинів</w:t>
      </w:r>
      <w:r w:rsidR="003D13E5" w:rsidRPr="00966737">
        <w:rPr>
          <w:rFonts w:ascii="Times New Roman" w:hAnsi="Times New Roman" w:cs="Times New Roman"/>
          <w:sz w:val="28"/>
          <w:szCs w:val="28"/>
        </w:rPr>
        <w:t xml:space="preserve"> (HNP)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показав, що найвищими їх 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були </w:t>
      </w:r>
      <w:r w:rsidR="00CE15C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здоров</w:t>
      </w:r>
      <w:r w:rsidR="00B55080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та в середньому склали </w:t>
      </w:r>
      <w:r w:rsidR="003D13E5" w:rsidRPr="0096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6,45 </w:t>
      </w:r>
      <w:r w:rsidR="003D13E5" w:rsidRPr="00966737">
        <w:rPr>
          <w:rFonts w:ascii="Times New Roman" w:hAnsi="Times New Roman" w:cs="Times New Roman"/>
          <w:sz w:val="28"/>
          <w:szCs w:val="28"/>
          <w:lang w:eastAsia="en-US"/>
        </w:rPr>
        <w:t xml:space="preserve">± 0,033 </w:t>
      </w:r>
      <w:r w:rsidR="00B55080">
        <w:rPr>
          <w:rFonts w:ascii="Times New Roman" w:hAnsi="Times New Roman" w:cs="Times New Roman"/>
          <w:sz w:val="28"/>
          <w:szCs w:val="28"/>
        </w:rPr>
        <w:t>мкг/</w:t>
      </w:r>
      <w:r w:rsidR="003D13E5" w:rsidRPr="00966737">
        <w:rPr>
          <w:rFonts w:ascii="Times New Roman" w:hAnsi="Times New Roman" w:cs="Times New Roman"/>
          <w:sz w:val="28"/>
          <w:szCs w:val="28"/>
        </w:rPr>
        <w:t>мл (табл.4.5).</w:t>
      </w:r>
    </w:p>
    <w:p w:rsidR="003D13E5" w:rsidRPr="00966737" w:rsidRDefault="00FD1D07" w:rsidP="00D72B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Таблиця </w:t>
      </w:r>
      <w:r w:rsidR="003D13E5" w:rsidRPr="00966737">
        <w:rPr>
          <w:rFonts w:ascii="Times New Roman" w:hAnsi="Times New Roman" w:cs="Times New Roman"/>
          <w:i/>
          <w:sz w:val="28"/>
          <w:szCs w:val="28"/>
          <w:lang w:eastAsia="en-US"/>
        </w:rPr>
        <w:t>4.5</w:t>
      </w:r>
    </w:p>
    <w:p w:rsidR="003D13E5" w:rsidRPr="00966737" w:rsidRDefault="00FD1D07" w:rsidP="00D72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Показники концентрації </w:t>
      </w:r>
      <w:r w:rsidR="003D13E5" w:rsidRPr="00966737">
        <w:rPr>
          <w:rFonts w:ascii="Times New Roman" w:hAnsi="Times New Roman" w:cs="Times New Roman"/>
          <w:sz w:val="28"/>
          <w:szCs w:val="28"/>
          <w:lang w:eastAsia="en-US"/>
        </w:rPr>
        <w:t>α-дефензин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</w:t>
      </w:r>
      <w:r w:rsidR="003D13E5" w:rsidRPr="00966737">
        <w:rPr>
          <w:rFonts w:ascii="Times New Roman" w:hAnsi="Times New Roman" w:cs="Times New Roman"/>
          <w:sz w:val="28"/>
          <w:szCs w:val="28"/>
          <w:lang w:eastAsia="en-US"/>
        </w:rPr>
        <w:t>в (HNP)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ротової рідини практично зд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рових дітей та дітей з ГЛЛ</w:t>
      </w:r>
      <w:r w:rsidR="003D13E5" w:rsidRPr="0096673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</w:t>
      </w:r>
      <w:r w:rsidR="003D13E5" w:rsidRPr="00966737">
        <w:rPr>
          <w:rFonts w:ascii="Times New Roman" w:hAnsi="Times New Roman" w:cs="Times New Roman"/>
          <w:sz w:val="28"/>
          <w:szCs w:val="28"/>
          <w:lang w:eastAsia="en-US"/>
        </w:rPr>
        <w:t>д/л (M±m)</w:t>
      </w:r>
    </w:p>
    <w:tbl>
      <w:tblPr>
        <w:tblW w:w="7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842"/>
        <w:gridCol w:w="1843"/>
        <w:gridCol w:w="1992"/>
      </w:tblGrid>
      <w:tr w:rsidR="003D13E5" w:rsidRPr="00966737" w:rsidTr="00D72B38">
        <w:trPr>
          <w:trHeight w:val="675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3D13E5" w:rsidRPr="00FD1D07" w:rsidRDefault="00FD1D07" w:rsidP="00D72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Гострий період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13E5" w:rsidRPr="00966737" w:rsidRDefault="003D13E5" w:rsidP="00FD1D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 w:rsidR="00FD1D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D1D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ind w:left="1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Рецидив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D13E5" w:rsidRPr="00FD1D07" w:rsidRDefault="00FD1D07" w:rsidP="00D72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Здорові діти</w:t>
            </w:r>
          </w:p>
        </w:tc>
      </w:tr>
      <w:tr w:rsidR="003D13E5" w:rsidRPr="00966737" w:rsidTr="00D72B38">
        <w:trPr>
          <w:trHeight w:val="708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1,05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±0,053*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±0,061*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0,81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±0,041*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D13E5" w:rsidRPr="00966737" w:rsidRDefault="003D13E5" w:rsidP="00D72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6,45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±0,033</w:t>
            </w:r>
          </w:p>
        </w:tc>
      </w:tr>
    </w:tbl>
    <w:p w:rsidR="007A7A0B" w:rsidRPr="008C403C" w:rsidRDefault="007A7A0B" w:rsidP="007A7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1D07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Примітка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: * - </w:t>
      </w:r>
      <w:r w:rsidR="00FD1D07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здорових дітей</w:t>
      </w:r>
      <w:r w:rsidR="003D13E5" w:rsidRPr="00966737">
        <w:rPr>
          <w:rFonts w:ascii="Times New Roman" w:eastAsia="Times New Roman" w:hAnsi="Times New Roman" w:cs="Times New Roman"/>
          <w:sz w:val="28"/>
          <w:szCs w:val="28"/>
        </w:rPr>
        <w:t xml:space="preserve"> (p&lt;0,05)</w:t>
      </w:r>
      <w:r w:rsidR="00B550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A7A0B" w:rsidRPr="008C403C" w:rsidRDefault="007A7A0B" w:rsidP="007A7A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E5" w:rsidRPr="00907262" w:rsidRDefault="00FD1D07" w:rsidP="00D72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 у дітей з гострим лімфобластним лейкозом значення концентр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3D13E5" w:rsidRPr="00966737">
        <w:rPr>
          <w:rFonts w:ascii="Times New Roman" w:hAnsi="Times New Roman" w:cs="Times New Roman"/>
          <w:sz w:val="28"/>
          <w:szCs w:val="28"/>
        </w:rPr>
        <w:t>α</w:t>
      </w:r>
      <w:r w:rsidR="003D13E5" w:rsidRPr="00907262">
        <w:rPr>
          <w:rFonts w:ascii="Times New Roman" w:hAnsi="Times New Roman" w:cs="Times New Roman"/>
          <w:sz w:val="28"/>
          <w:szCs w:val="28"/>
          <w:lang w:val="uk-UA"/>
        </w:rPr>
        <w:t>-дефензин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13E5" w:rsidRPr="0090726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достовірно знижувалися та складали </w:t>
      </w:r>
      <w:r w:rsidR="003D13E5" w:rsidRPr="009072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1,05 </w:t>
      </w:r>
      <w:r w:rsidR="003D13E5" w:rsidRPr="0090726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± 0,053 </w:t>
      </w:r>
      <w:r w:rsidR="00B55080" w:rsidRPr="00907262">
        <w:rPr>
          <w:rFonts w:ascii="Times New Roman" w:hAnsi="Times New Roman" w:cs="Times New Roman"/>
          <w:sz w:val="28"/>
          <w:szCs w:val="28"/>
          <w:lang w:val="uk-UA"/>
        </w:rPr>
        <w:t>мкг/</w:t>
      </w:r>
      <w:r w:rsidR="003D13E5" w:rsidRPr="00907262">
        <w:rPr>
          <w:rFonts w:ascii="Times New Roman" w:hAnsi="Times New Roman" w:cs="Times New Roman"/>
          <w:sz w:val="28"/>
          <w:szCs w:val="28"/>
          <w:lang w:val="uk-UA"/>
        </w:rPr>
        <w:t xml:space="preserve">мл </w:t>
      </w:r>
      <w:r>
        <w:rPr>
          <w:rFonts w:ascii="Times New Roman" w:hAnsi="Times New Roman" w:cs="Times New Roman"/>
          <w:sz w:val="28"/>
          <w:szCs w:val="28"/>
          <w:lang w:val="uk-UA"/>
        </w:rPr>
        <w:t>у групі дітей першого гострого період</w:t>
      </w:r>
      <w:r w:rsidR="000A1A8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ГЛЛ</w:t>
      </w:r>
      <w:r w:rsidR="003D13E5" w:rsidRPr="00907262">
        <w:rPr>
          <w:rFonts w:ascii="Times New Roman" w:hAnsi="Times New Roman" w:cs="Times New Roman"/>
          <w:sz w:val="28"/>
          <w:szCs w:val="28"/>
          <w:lang w:val="uk-UA"/>
        </w:rPr>
        <w:t xml:space="preserve">, 1,22 </w:t>
      </w:r>
      <w:r w:rsidR="003D13E5" w:rsidRPr="00907262">
        <w:rPr>
          <w:rFonts w:ascii="Times New Roman" w:hAnsi="Times New Roman" w:cs="Times New Roman"/>
          <w:sz w:val="28"/>
          <w:szCs w:val="28"/>
          <w:lang w:val="uk-UA" w:eastAsia="en-US"/>
        </w:rPr>
        <w:t>± 0,061</w:t>
      </w:r>
      <w:r w:rsidR="003D13E5" w:rsidRPr="00907262">
        <w:rPr>
          <w:rFonts w:ascii="Times New Roman" w:hAnsi="Times New Roman" w:cs="Times New Roman"/>
          <w:sz w:val="28"/>
          <w:szCs w:val="28"/>
          <w:lang w:val="uk-UA"/>
        </w:rPr>
        <w:t xml:space="preserve"> мкг/мл </w:t>
      </w:r>
      <w:r w:rsidR="00B55080" w:rsidRPr="00907262">
        <w:rPr>
          <w:lang w:val="uk-UA"/>
        </w:rPr>
        <w:t>–</w:t>
      </w:r>
      <w:r w:rsidR="003D13E5" w:rsidRPr="00907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період 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місії захворювання та </w:t>
      </w:r>
      <w:r w:rsidR="003D13E5" w:rsidRPr="009072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0,81 </w:t>
      </w:r>
      <w:r w:rsidR="003D13E5" w:rsidRPr="00907262">
        <w:rPr>
          <w:rFonts w:ascii="Times New Roman" w:hAnsi="Times New Roman" w:cs="Times New Roman"/>
          <w:sz w:val="28"/>
          <w:szCs w:val="28"/>
          <w:lang w:val="uk-UA" w:eastAsia="en-US"/>
        </w:rPr>
        <w:t>± 0 ,041</w:t>
      </w:r>
      <w:r w:rsidR="00B55080" w:rsidRPr="00907262">
        <w:rPr>
          <w:rFonts w:ascii="Times New Roman" w:hAnsi="Times New Roman" w:cs="Times New Roman"/>
          <w:sz w:val="28"/>
          <w:szCs w:val="28"/>
          <w:lang w:val="uk-UA"/>
        </w:rPr>
        <w:t xml:space="preserve">  мкг</w:t>
      </w:r>
      <w:r w:rsidR="00CE15C0" w:rsidRPr="009072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D13E5" w:rsidRPr="00907262">
        <w:rPr>
          <w:rFonts w:ascii="Times New Roman" w:hAnsi="Times New Roman" w:cs="Times New Roman"/>
          <w:sz w:val="28"/>
          <w:szCs w:val="28"/>
          <w:lang w:val="uk-UA"/>
        </w:rPr>
        <w:t xml:space="preserve">мл </w:t>
      </w:r>
      <w:r>
        <w:rPr>
          <w:rFonts w:ascii="Times New Roman" w:hAnsi="Times New Roman" w:cs="Times New Roman"/>
          <w:sz w:val="28"/>
          <w:szCs w:val="28"/>
          <w:lang w:val="uk-UA"/>
        </w:rPr>
        <w:t>у групі дітей під час рецидиву ГЛЛ</w:t>
      </w:r>
      <w:r w:rsidR="003D13E5" w:rsidRPr="00907262">
        <w:rPr>
          <w:rFonts w:ascii="Times New Roman" w:hAnsi="Times New Roman" w:cs="Times New Roman"/>
          <w:sz w:val="28"/>
          <w:szCs w:val="28"/>
          <w:lang w:val="uk-UA"/>
        </w:rPr>
        <w:t xml:space="preserve"> (табл.4.5).</w:t>
      </w:r>
    </w:p>
    <w:p w:rsidR="003D13E5" w:rsidRPr="00966737" w:rsidRDefault="00FD1D07" w:rsidP="003D1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Отримані результати досліджень свідчать про понижену природн</w:t>
      </w:r>
      <w:r w:rsidR="0090726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тимікробну систему захисту порожнини рота </w:t>
      </w:r>
      <w:r w:rsidR="0090726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26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сіх обстежених дітей з ГЛЛ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тим, найбільш виражене зниження неспецифічної резистентності у порожнині рота було встановлен</w:t>
      </w:r>
      <w:r w:rsidR="004D6D2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26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під час рецидиву основного захв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рювання</w:t>
      </w:r>
      <w:r w:rsidR="003D13E5" w:rsidRPr="00966737">
        <w:rPr>
          <w:rFonts w:ascii="Times New Roman" w:hAnsi="Times New Roman" w:cs="Times New Roman"/>
          <w:sz w:val="28"/>
          <w:szCs w:val="28"/>
        </w:rPr>
        <w:t>.</w:t>
      </w:r>
    </w:p>
    <w:p w:rsidR="003D13E5" w:rsidRPr="00966737" w:rsidRDefault="00FD1D07" w:rsidP="003D1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89">
        <w:rPr>
          <w:rFonts w:ascii="Times New Roman" w:hAnsi="Times New Roman" w:cs="Times New Roman"/>
          <w:sz w:val="28"/>
          <w:szCs w:val="28"/>
          <w:lang w:val="uk-UA"/>
        </w:rPr>
        <w:t>Таким чином, представлені дані аналізу складових факторів неспециф</w:t>
      </w:r>
      <w:r w:rsidRPr="000A1A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A89">
        <w:rPr>
          <w:rFonts w:ascii="Times New Roman" w:hAnsi="Times New Roman" w:cs="Times New Roman"/>
          <w:sz w:val="28"/>
          <w:szCs w:val="28"/>
          <w:lang w:val="uk-UA"/>
        </w:rPr>
        <w:t xml:space="preserve">чної резистентності та місцевого імунітету </w:t>
      </w:r>
      <w:r w:rsidR="009072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A1A89">
        <w:rPr>
          <w:rFonts w:ascii="Times New Roman" w:hAnsi="Times New Roman" w:cs="Times New Roman"/>
          <w:sz w:val="28"/>
          <w:szCs w:val="28"/>
          <w:lang w:val="uk-UA"/>
        </w:rPr>
        <w:t xml:space="preserve"> порожнині рота переконливо свідчать про те, що у обстежених дітей з онкозахворюванням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 xml:space="preserve"> крові, а саме, гострим лімфобластним лейкозом, знижений рівень лізоциму та концентрація </w:t>
      </w:r>
      <w:r w:rsidR="003D13E5" w:rsidRPr="000A1A89">
        <w:rPr>
          <w:rFonts w:ascii="Times New Roman" w:hAnsi="Times New Roman" w:cs="Times New Roman"/>
          <w:sz w:val="28"/>
          <w:szCs w:val="28"/>
        </w:rPr>
        <w:t>α-дефензин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13E5" w:rsidRPr="000A1A89">
        <w:rPr>
          <w:rFonts w:ascii="Times New Roman" w:hAnsi="Times New Roman" w:cs="Times New Roman"/>
          <w:sz w:val="28"/>
          <w:szCs w:val="28"/>
        </w:rPr>
        <w:t xml:space="preserve">в 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 xml:space="preserve">у ротовій рідині. У той же час, показники, що вивчалися, були найменшими </w:t>
      </w:r>
      <w:r w:rsidR="009072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9072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 xml:space="preserve"> період рецидиву основного захворюваня та найбіл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шими в стадії ремісії гострого лімфобластного</w:t>
      </w:r>
      <w:r w:rsidR="00533459" w:rsidRPr="000A1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лейкозу. На нашу думку, це, можливо, зумовлене зниженням секреції ротової рідини та збільшенням її в</w:t>
      </w:r>
      <w:r w:rsidR="00533459" w:rsidRPr="000A1A8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 xml:space="preserve">язкості та кількості мікрофлори </w:t>
      </w:r>
      <w:r w:rsidR="009072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 xml:space="preserve"> порожнині рота на фоні лікування хімі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препаратами таких дітей. При цьому відбувається підвищене створення пр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дуктів білкового метаболізму, розпаду зубного нальоту, бактерій ясенної б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6D2E">
        <w:rPr>
          <w:rFonts w:ascii="Times New Roman" w:hAnsi="Times New Roman" w:cs="Times New Roman"/>
          <w:sz w:val="28"/>
          <w:szCs w:val="28"/>
          <w:lang w:val="uk-UA"/>
        </w:rPr>
        <w:t>розн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и та епітелі</w:t>
      </w:r>
      <w:r w:rsidR="0090726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 xml:space="preserve"> ротової порожнини</w:t>
      </w:r>
      <w:r w:rsidR="003D13E5" w:rsidRPr="000A1A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 xml:space="preserve"> Це, в свою чергу, призводить до зн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7741" w:rsidRPr="000A1A89">
        <w:rPr>
          <w:rFonts w:ascii="Times New Roman" w:hAnsi="Times New Roman" w:cs="Times New Roman"/>
          <w:sz w:val="28"/>
          <w:szCs w:val="28"/>
          <w:lang w:val="uk-UA"/>
        </w:rPr>
        <w:t>ження неспецифічної резистентності порожнини рота</w:t>
      </w:r>
      <w:r w:rsidR="003D13E5" w:rsidRPr="000A1A89">
        <w:rPr>
          <w:rFonts w:ascii="Times New Roman" w:hAnsi="Times New Roman" w:cs="Times New Roman"/>
          <w:sz w:val="28"/>
          <w:szCs w:val="28"/>
        </w:rPr>
        <w:t>.</w:t>
      </w:r>
    </w:p>
    <w:p w:rsidR="00F879E9" w:rsidRPr="008C403C" w:rsidRDefault="00487741" w:rsidP="00907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очевидно, що, якщо порушення імунологічної реакти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можуть являтися сприятливим фоном для розвитку лейкоз</w:t>
      </w:r>
      <w:r w:rsidR="00437E9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то й сам лейкозний процес суттєво впливає на імунологічний статус таких пацієнтів. Аналізуючи зміни рівня неспецифічної резистентності порожнини рота в процесі розвитку патологій, необхідно пам</w:t>
      </w:r>
      <w:r w:rsidR="0077206E" w:rsidRPr="0077206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ятати про те, що дія продуктів запального вогнища різноманітна та залежить від великої кількості причин</w:t>
      </w:r>
      <w:r w:rsidR="003D13E5" w:rsidRPr="004877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Тому, не дивлячись на наявність </w:t>
      </w:r>
      <w:r w:rsidR="00907262">
        <w:rPr>
          <w:rFonts w:ascii="Times New Roman" w:hAnsi="Times New Roman" w:cs="Times New Roman"/>
          <w:sz w:val="28"/>
          <w:szCs w:val="28"/>
          <w:lang w:val="uk-UA"/>
        </w:rPr>
        <w:t>зміщення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цих показників у процесі запале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та деструкції, встановити жорстку закономірність цих змін складно. Крім того, постійно наявні переходи рівней та лізоциму, та </w:t>
      </w:r>
      <w:r w:rsidR="003D13E5" w:rsidRPr="00966737">
        <w:rPr>
          <w:rFonts w:ascii="Times New Roman" w:hAnsi="Times New Roman" w:cs="Times New Roman"/>
          <w:sz w:val="28"/>
          <w:szCs w:val="28"/>
          <w:lang w:eastAsia="en-US"/>
        </w:rPr>
        <w:t>α</w:t>
      </w:r>
      <w:r w:rsidR="003D13E5" w:rsidRPr="00487741">
        <w:rPr>
          <w:rFonts w:ascii="Times New Roman" w:hAnsi="Times New Roman" w:cs="Times New Roman"/>
          <w:sz w:val="28"/>
          <w:szCs w:val="28"/>
          <w:lang w:val="uk-UA" w:eastAsia="en-US"/>
        </w:rPr>
        <w:t>-дефензин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</w:t>
      </w:r>
      <w:r w:rsidR="003D13E5" w:rsidRPr="00487741">
        <w:rPr>
          <w:rFonts w:ascii="Times New Roman" w:hAnsi="Times New Roman" w:cs="Times New Roman"/>
          <w:sz w:val="28"/>
          <w:szCs w:val="28"/>
          <w:lang w:val="uk-UA" w:eastAsia="en-US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від зн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ження до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важко порівняти з клінічною картиною</w:t>
      </w:r>
      <w:r w:rsidR="003D13E5" w:rsidRPr="00487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A0B" w:rsidRPr="008C403C" w:rsidRDefault="007A7A0B" w:rsidP="00907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A0B" w:rsidRPr="008C403C" w:rsidRDefault="007A7A0B" w:rsidP="00907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9E9" w:rsidRPr="00907262" w:rsidRDefault="00907262" w:rsidP="0090726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454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</w:t>
      </w:r>
      <w:r w:rsidR="00F879E9" w:rsidRPr="00966737">
        <w:rPr>
          <w:rFonts w:ascii="Times New Roman" w:eastAsia="Times New Roman" w:hAnsi="Times New Roman" w:cs="Times New Roman"/>
          <w:b/>
          <w:sz w:val="28"/>
          <w:szCs w:val="28"/>
        </w:rPr>
        <w:t xml:space="preserve"> 5  </w:t>
      </w:r>
    </w:p>
    <w:p w:rsidR="00F879E9" w:rsidRDefault="00454835" w:rsidP="00D63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КЛІНІКО</w:t>
      </w:r>
      <w:r w:rsidR="00A965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720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A965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ЛАБОРАТОРНІ РЕЗУЛЬТАТИ ЛІКУВАННЯ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СЛИЗОВОЇ ОБОЛОНКИ ПОРОЖНИНИ РОТА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 ТА ТКАНИН ПАРОДОНТУ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0E3C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ДІТЕЙ </w:t>
      </w:r>
      <w:r w:rsidR="00455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ГОСТРИМ ЛІМФОБЛАСТНИМ ЛЕЙКОЗОМ</w:t>
      </w:r>
    </w:p>
    <w:p w:rsidR="00A965BA" w:rsidRPr="00D6334E" w:rsidRDefault="00A965BA" w:rsidP="00D63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879E9" w:rsidRPr="00966737" w:rsidRDefault="00F879E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5.1. </w:t>
      </w:r>
      <w:r w:rsidR="004548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Клінічна оцінка ефективності розроблених методів лікування</w:t>
      </w:r>
      <w:r w:rsidRPr="0096673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37E9F" w:rsidRDefault="00454835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Клінічна ефективність проведеного лікування запальних захворювань тканин пародонту та слизової оболонки порожнини рота оцінюється </w:t>
      </w:r>
      <w:r w:rsidR="0027619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2761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клінічних</w:t>
      </w:r>
      <w:r w:rsidR="002761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показників </w:t>
      </w:r>
      <w:r w:rsidR="002761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2761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індексів, що характеризують їхній стан</w:t>
      </w:r>
      <w:r w:rsidR="00F879E9" w:rsidRPr="00385C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</w:t>
      </w:r>
      <w:r w:rsidR="00437E9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</w:p>
    <w:p w:rsidR="00F879E9" w:rsidRPr="00385C4E" w:rsidRDefault="0027619E" w:rsidP="00437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нято вважати, що </w:t>
      </w:r>
      <w:r w:rsidR="00454835">
        <w:rPr>
          <w:rFonts w:ascii="Times New Roman" w:eastAsia="Times New Roman" w:hAnsi="Times New Roman" w:cs="Times New Roman"/>
          <w:sz w:val="28"/>
          <w:szCs w:val="28"/>
          <w:lang w:val="uk-UA"/>
        </w:rPr>
        <w:t>пародонтопротекторна ефективність лікувального компл</w:t>
      </w:r>
      <w:r w:rsidR="00454835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454835">
        <w:rPr>
          <w:rFonts w:ascii="Times New Roman" w:eastAsia="Times New Roman" w:hAnsi="Times New Roman" w:cs="Times New Roman"/>
          <w:sz w:val="28"/>
          <w:szCs w:val="28"/>
          <w:lang w:val="uk-UA"/>
        </w:rPr>
        <w:t>ксу може проявлятися завдяки протизапальній спрямованості дій препа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ратів </w:t>
      </w:r>
      <w:r w:rsidR="004548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у комплексі, так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548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окремо взятих його компонентах</w:t>
      </w:r>
      <w:r w:rsidR="00F879E9" w:rsidRPr="00385C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879E9" w:rsidRPr="00284E3C" w:rsidRDefault="00793286" w:rsidP="007932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454835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Проведені дослідження показали, що всі розроблені методи лікування мають виражен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у пародонтопротекторну та протизапальну дію на тканини п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родонту та СОПР у дітей з генералізованим хронічним катаральним гінгів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том та виразково-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стоматитом, які протікають на фоні гострого лімфобластного лейкозу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різні періоди перебігу</w:t>
      </w:r>
      <w:r w:rsidR="00F879E9" w:rsidRPr="00284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879E9" w:rsidRDefault="00793286" w:rsidP="007932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Про пародонтопротекторну ефективність застосовуваних методів лікува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ня свідчать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начення індексу кровоточивості. 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Так, вихідна величина пок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ків цього індексу в обох досліджуваних групах до початку лікування була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2,56 ± 0,142 бал. – 2,59 ± 0,136 бал. 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у дітей з ГХКГ та стоматитом, які прот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кали на фоні ГЛЛ у першому гострому періоді та в періоді рецидив</w:t>
      </w:r>
      <w:r w:rsidR="007A397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(табл. 5.1).</w:t>
      </w:r>
    </w:p>
    <w:p w:rsidR="000B7132" w:rsidRDefault="005165CA" w:rsidP="00516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цифрових значень індексу кровоточивості в дітей основної групи, стоматологічні захворювання яких протікали в першому гострому періоді та в періоді рецидиву основного захворювання крові, після застосування розр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блених ЛПЗ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включали в себе використання кверцетинвмісного мукоз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льного гелю, а також його комбінації з гелем, що містить велику кількість поліфенолів, флавонолів, антоцианів та катехінів, суміші бісульфату алкало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дів сангвінарина та хелеритрина з пробіотичним та протигрибковими преп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ратами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встановив достовірне зниження показника, що вивчається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(табл.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5.1).</w:t>
      </w:r>
    </w:p>
    <w:p w:rsidR="005165CA" w:rsidRPr="00907262" w:rsidRDefault="005165CA" w:rsidP="00516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79E9" w:rsidRPr="00966737" w:rsidRDefault="00F879E9" w:rsidP="00F879E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>Таблиц</w:t>
      </w:r>
      <w:r w:rsidR="00555FA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5.1</w:t>
      </w:r>
    </w:p>
    <w:p w:rsidR="00F879E9" w:rsidRPr="00966737" w:rsidRDefault="00555FA2" w:rsidP="00555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показників запален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ясен та СОПР у дітей з ГЛЛ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 перший гострий період та в період рецидиву,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М ± m</w:t>
      </w:r>
    </w:p>
    <w:tbl>
      <w:tblPr>
        <w:tblStyle w:val="11"/>
        <w:tblW w:w="971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1560"/>
        <w:gridCol w:w="1559"/>
        <w:gridCol w:w="1559"/>
        <w:gridCol w:w="1526"/>
      </w:tblGrid>
      <w:tr w:rsidR="00F879E9" w:rsidRPr="00966737" w:rsidTr="002D785C">
        <w:trPr>
          <w:cantSplit/>
          <w:trHeight w:val="1383"/>
          <w:jc w:val="center"/>
        </w:trPr>
        <w:tc>
          <w:tcPr>
            <w:tcW w:w="675" w:type="dxa"/>
            <w:textDirection w:val="btLr"/>
            <w:vAlign w:val="center"/>
          </w:tcPr>
          <w:p w:rsidR="00F879E9" w:rsidRPr="00555FA2" w:rsidRDefault="00555FA2" w:rsidP="00555FA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D785C" w:rsidRPr="009667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79E9" w:rsidRPr="00966737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2D785C" w:rsidRPr="009667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276" w:type="dxa"/>
            <w:vAlign w:val="center"/>
          </w:tcPr>
          <w:p w:rsidR="00F879E9" w:rsidRPr="00555FA2" w:rsidRDefault="00555FA2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559" w:type="dxa"/>
            <w:vAlign w:val="center"/>
          </w:tcPr>
          <w:p w:rsidR="002D785C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F879E9" w:rsidRPr="00555FA2" w:rsidRDefault="00555FA2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560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555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="00555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555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="00555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555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  <w:r w:rsidR="00555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555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12 м</w:t>
            </w:r>
            <w:r w:rsidR="00555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879E9" w:rsidRPr="00966737" w:rsidTr="002D785C">
        <w:trPr>
          <w:cantSplit/>
          <w:trHeight w:val="1134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F879E9" w:rsidRPr="00966737" w:rsidRDefault="00F879E9" w:rsidP="00F879E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РМА, %</w:t>
            </w:r>
          </w:p>
        </w:tc>
        <w:tc>
          <w:tcPr>
            <w:tcW w:w="1276" w:type="dxa"/>
            <w:textDirection w:val="btLr"/>
            <w:vAlign w:val="center"/>
          </w:tcPr>
          <w:p w:rsidR="00F879E9" w:rsidRPr="00966737" w:rsidRDefault="00555FA2" w:rsidP="00555FA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879E9" w:rsidRPr="00966737">
              <w:rPr>
                <w:rFonts w:ascii="Times New Roman" w:hAnsi="Times New Roman" w:cs="Times New Roman"/>
                <w:sz w:val="28"/>
                <w:szCs w:val="28"/>
              </w:rPr>
              <w:t>сновна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40,55±2,03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60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24,75±1,24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21,02±1,06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21,63±1,09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23,71±1,19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2D785C">
        <w:trPr>
          <w:cantSplit/>
          <w:trHeight w:val="1452"/>
          <w:jc w:val="center"/>
        </w:trPr>
        <w:tc>
          <w:tcPr>
            <w:tcW w:w="675" w:type="dxa"/>
            <w:vMerge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879E9" w:rsidRPr="00555FA2" w:rsidRDefault="00555FA2" w:rsidP="00F879E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39,61±2,01</w:t>
            </w:r>
          </w:p>
        </w:tc>
        <w:tc>
          <w:tcPr>
            <w:tcW w:w="1560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28,33±1,37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30,74±1,49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33,22±1,67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36,57±1,75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F879E9" w:rsidRPr="00966737" w:rsidTr="002D785C">
        <w:trPr>
          <w:cantSplit/>
          <w:trHeight w:val="1134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F879E9" w:rsidRPr="00966737" w:rsidRDefault="00F879E9" w:rsidP="00555FA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Кровоточив</w:t>
            </w:r>
            <w:r w:rsidR="00555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сть, бал.</w:t>
            </w:r>
          </w:p>
        </w:tc>
        <w:tc>
          <w:tcPr>
            <w:tcW w:w="1276" w:type="dxa"/>
            <w:textDirection w:val="btLr"/>
            <w:vAlign w:val="center"/>
          </w:tcPr>
          <w:p w:rsidR="00F879E9" w:rsidRPr="00966737" w:rsidRDefault="00555FA2" w:rsidP="00555FA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879E9" w:rsidRPr="00966737">
              <w:rPr>
                <w:rFonts w:ascii="Times New Roman" w:hAnsi="Times New Roman" w:cs="Times New Roman"/>
                <w:sz w:val="28"/>
                <w:szCs w:val="28"/>
              </w:rPr>
              <w:t>сновна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2,59±0,136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60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1,36±0,072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0,79±0,041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0,61±0,032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0,66±0,034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2D785C">
        <w:trPr>
          <w:cantSplit/>
          <w:trHeight w:val="1470"/>
          <w:jc w:val="center"/>
        </w:trPr>
        <w:tc>
          <w:tcPr>
            <w:tcW w:w="675" w:type="dxa"/>
            <w:vMerge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879E9" w:rsidRPr="00555FA2" w:rsidRDefault="00555FA2" w:rsidP="00F879E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2,56±0,142</w:t>
            </w:r>
          </w:p>
        </w:tc>
        <w:tc>
          <w:tcPr>
            <w:tcW w:w="1560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1,43±0,074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1,22±0,066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1,67±0,089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1,89±0,102</w:t>
            </w:r>
          </w:p>
          <w:p w:rsidR="00F879E9" w:rsidRPr="00966737" w:rsidRDefault="00F879E9" w:rsidP="00F87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</w:tr>
    </w:tbl>
    <w:p w:rsidR="00F879E9" w:rsidRPr="00966737" w:rsidRDefault="002D785C" w:rsidP="002D785C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ab/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 w:rsidR="0077206E">
        <w:rPr>
          <w:rFonts w:ascii="Times New Roman" w:eastAsia="Times New Roman" w:hAnsi="Times New Roman" w:cs="Times New Roman"/>
          <w:sz w:val="28"/>
          <w:szCs w:val="28"/>
        </w:rPr>
        <w:t xml:space="preserve">: р – 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ними даними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; р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06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  <w:r w:rsidR="007720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79E9" w:rsidRPr="00966737" w:rsidRDefault="00F879E9" w:rsidP="00F879E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9E9" w:rsidRPr="00555FA2" w:rsidRDefault="00F879E9" w:rsidP="00F87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ab/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через місяць після проведеного лікування індекс кровоточивості дорівнював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1,36 ± 0,072 бал., 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а через 3 та 6 місяців його значення знижувал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ся та були максимально низькими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0,79 ± 0,041 бал. 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 0,61 ± 0,032 бал. 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повідно. Наприкінці дослідження індекс кровоточивості відповіда</w:t>
      </w:r>
      <w:r w:rsidR="007A397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5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0,64 ± 0,034 бал., 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що в 4 рази менше порівняно з вихідними даними</w:t>
      </w:r>
      <w:r w:rsidRPr="00555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879E9" w:rsidRPr="00966737" w:rsidRDefault="00F879E9" w:rsidP="00F87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FA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</w:t>
      </w:r>
      <w:r w:rsidR="0071673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групі порівняння, де діти використовували лізоцим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ий ополіскувач, встановлен</w:t>
      </w:r>
      <w:r w:rsidR="007A397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достовірне зниження цифрових даних пока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555FA2">
        <w:rPr>
          <w:rFonts w:ascii="Times New Roman" w:eastAsia="Times New Roman" w:hAnsi="Times New Roman" w:cs="Times New Roman"/>
          <w:sz w:val="28"/>
          <w:szCs w:val="28"/>
          <w:lang w:val="uk-UA"/>
        </w:rPr>
        <w:t>ника, що вивчається, за весь період спостере</w:t>
      </w:r>
      <w:r w:rsidR="000267EB">
        <w:rPr>
          <w:rFonts w:ascii="Times New Roman" w:eastAsia="Times New Roman" w:hAnsi="Times New Roman" w:cs="Times New Roman"/>
          <w:sz w:val="28"/>
          <w:szCs w:val="28"/>
          <w:lang w:val="uk-UA"/>
        </w:rPr>
        <w:t>жень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(р &lt; 0, 05). </w:t>
      </w:r>
    </w:p>
    <w:p w:rsidR="00F879E9" w:rsidRPr="00966737" w:rsidRDefault="003817F8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Аналізуючи дані в таблиці </w:t>
      </w:r>
      <w:r w:rsidR="00F879E9" w:rsidRPr="003817F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DA4669" w:rsidRPr="003817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нами було встановлен</w:t>
      </w:r>
      <w:r w:rsidR="0077206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достовірне зн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1673C">
        <w:rPr>
          <w:rFonts w:ascii="Times New Roman" w:eastAsia="Times New Roman" w:hAnsi="Times New Roman" w:cs="Times New Roman"/>
          <w:sz w:val="28"/>
          <w:szCs w:val="28"/>
          <w:lang w:val="uk-UA"/>
        </w:rPr>
        <w:t>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у основній групі, так і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групі порівняння дітей ще одного індексу, який характеризує ступінь запалення </w:t>
      </w:r>
      <w:r w:rsidR="0071673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тканинах пародонту та СОПР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РМА.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через місяць досліджень показник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РМА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основної групи, </w:t>
      </w:r>
      <w:r w:rsidR="0077206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діагностували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ГХКГ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стоматит у першому гострому періоді та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оді рецидив</w:t>
      </w:r>
      <w:r w:rsidR="009422E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ГЛЛ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знизився більше</w:t>
      </w:r>
      <w:r w:rsidR="007167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 на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38%,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максимально низьк</w:t>
      </w:r>
      <w:r w:rsidR="009422E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значення були встановлені через 3 місяці після початку лікувальних заході</w:t>
      </w:r>
      <w:r w:rsidR="0077206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коли він був на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41,5%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нижче вихідних даних на початку дослідження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Разом з тим, не дивлячись на подальше збільшення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 дослідження значень показника, що вивчається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індекс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РМА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через півроку, і наприкінці спост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реження був достовірно нижчий порівняно з первинними даними на початку лікування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(р </w:t>
      </w:r>
      <w:r w:rsidR="002D2D8F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0,05). </w:t>
      </w:r>
    </w:p>
    <w:p w:rsidR="00F879E9" w:rsidRPr="00966737" w:rsidRDefault="003817F8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Виражені позитивні результати лікування, на наш погляд, можна поя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нити протизапальною дією мукозальних гел</w:t>
      </w:r>
      <w:r w:rsidR="00AC3A7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 застосовуються для лік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вання стоматологічних захворювань, з великою кількістю поліфенолів, фл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вонолів та антисептика, у складі якого </w:t>
      </w:r>
      <w:r w:rsidR="0077206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істяться бісульфат алкалоїдів сангв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нарина та хелеритрина, що мають антимікробну та бактерицидну дії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9E9" w:rsidRPr="00565C0D" w:rsidRDefault="00F879E9" w:rsidP="00F87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ab/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Така ж тенденція зниження індексу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РМА 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встановлена і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групі порі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няння. Так, через місяць досліджень його значення було у 1,4 рази менше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порівнянні з вихідними даними, а поті</w:t>
      </w:r>
      <w:r w:rsidR="0077206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>, не дивлячись на збільшення, напр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кінці дослідження </w:t>
      </w:r>
      <w:r w:rsidRP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РМА 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був на </w:t>
      </w:r>
      <w:r w:rsidRP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8% 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>нижче порівняно зі своїми вихідними зн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>ченнями</w:t>
      </w:r>
      <w:r w:rsidRP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D785C" w:rsidRPr="00A112EF" w:rsidRDefault="0077206E" w:rsidP="002D785C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цифрових даних таблиці </w:t>
      </w:r>
      <w:r w:rsidR="00F879E9" w:rsidRPr="00A11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5.2 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показав, що місцеве застосування мукозального гелю, що містить велику кількість поліфенолів, флавонолів, антоцианів та катехінів у комбінації з пробіотичним препаратом, у дітей з генералізованим хронічним катаральним гінгівітом та виразковим стомат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565C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том, </w:t>
      </w:r>
      <w:r w:rsidR="00A11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протікали на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тл</w:t>
      </w:r>
      <w:r w:rsidR="00A112EF">
        <w:rPr>
          <w:rFonts w:ascii="Times New Roman" w:eastAsia="Times New Roman" w:hAnsi="Times New Roman" w:cs="Times New Roman"/>
          <w:sz w:val="28"/>
          <w:szCs w:val="28"/>
          <w:lang w:val="uk-UA"/>
        </w:rPr>
        <w:t>і ГЛЛ у період ремісії, знижує значенн</w:t>
      </w:r>
      <w:r w:rsidR="00B16CD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A11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індексу кр</w:t>
      </w:r>
      <w:r w:rsidR="00A112E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112E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воточивості </w:t>
      </w:r>
      <w:r w:rsidR="0071673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11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 рази через місяць досліджень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11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групі спостереже</w:t>
      </w:r>
      <w:r w:rsidR="00A112E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A112EF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F879E9" w:rsidRPr="00A11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D785C" w:rsidRPr="00966737" w:rsidRDefault="0077206E" w:rsidP="002D785C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 проведен</w:t>
      </w:r>
      <w:r w:rsidR="00763E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комбіноване лікування </w:t>
      </w:r>
      <w:r w:rsidR="00B16C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групі дітей, гостре захворювання крові яких було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ремісії, максимально знижує показник, що вивчається, через 3 місяці – у 2,5 рази</w:t>
      </w:r>
      <w:r w:rsidR="002D785C" w:rsidRPr="00763E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дивлячись на незна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не підвищення значень цього параметру через півроку, наприкінці досл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дження індекс кровоточивості був достовірно нижчий за свої вихідні значе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2D785C" w:rsidRPr="00966737">
        <w:rPr>
          <w:rFonts w:ascii="Times New Roman" w:eastAsia="Times New Roman" w:hAnsi="Times New Roman" w:cs="Times New Roman"/>
          <w:sz w:val="28"/>
          <w:szCs w:val="28"/>
        </w:rPr>
        <w:t xml:space="preserve"> (р </w:t>
      </w:r>
      <w:r w:rsidR="002D2D8F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2D785C" w:rsidRPr="00966737">
        <w:rPr>
          <w:rFonts w:ascii="Times New Roman" w:eastAsia="Times New Roman" w:hAnsi="Times New Roman" w:cs="Times New Roman"/>
          <w:sz w:val="28"/>
          <w:szCs w:val="28"/>
        </w:rPr>
        <w:t xml:space="preserve"> 0,05).</w:t>
      </w:r>
    </w:p>
    <w:p w:rsidR="002D785C" w:rsidRPr="00003F90" w:rsidRDefault="002D785C" w:rsidP="002D785C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ab/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У групі порівняння встановлена подібна тенденція зниження індексу кровоточивості. Так, після застосування лізоцим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ого ополіскувача, н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прикінці спостереження значення індексу, що вивчається, змінилися від </w:t>
      </w:r>
      <w:r w:rsidRP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1,81 ± 0,093</w:t>
      </w:r>
      <w:r w:rsidR="00B16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бал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003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0,95 ± 0,049 бал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003F9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03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складає різницю майже у 2 рази</w:t>
      </w:r>
      <w:r w:rsidRPr="00003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D785C" w:rsidRDefault="00003F90" w:rsidP="002D7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Разом з тим, у дітей з </w:t>
      </w:r>
      <w:r w:rsidR="002D785C" w:rsidRPr="004D1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ГХКГ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стоматитом, що протікали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ремісії основного захворювання крові, місцеве застосування мук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зального геля та пробіотика на фоні використання лізоцим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 ополіск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вача, досто</w:t>
      </w:r>
      <w:r w:rsidR="004D1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вірно знижувало показники індексу </w:t>
      </w:r>
      <w:r w:rsidR="002D785C" w:rsidRPr="004D1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РМА </w:t>
      </w:r>
      <w:r w:rsidR="004D1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у основній групі, так і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D1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групі порівняння</w:t>
      </w:r>
      <w:r w:rsidR="002D785C" w:rsidRPr="004D1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 &lt; 0,05). </w:t>
      </w:r>
      <w:r w:rsidR="004D1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достовірне зниження індексу </w:t>
      </w:r>
      <w:r w:rsidR="002D785C" w:rsidRPr="00966737">
        <w:rPr>
          <w:rFonts w:ascii="Times New Roman" w:eastAsia="Times New Roman" w:hAnsi="Times New Roman" w:cs="Times New Roman"/>
          <w:sz w:val="28"/>
          <w:szCs w:val="28"/>
        </w:rPr>
        <w:t xml:space="preserve">РМА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D1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основних групах було встановлен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4D1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весь період спостережень</w:t>
      </w:r>
      <w:r w:rsidR="002D785C" w:rsidRPr="00966737">
        <w:rPr>
          <w:rFonts w:ascii="Times New Roman" w:eastAsia="Times New Roman" w:hAnsi="Times New Roman" w:cs="Times New Roman"/>
          <w:sz w:val="28"/>
          <w:szCs w:val="28"/>
        </w:rPr>
        <w:t xml:space="preserve"> (табл. 5.2). </w:t>
      </w:r>
    </w:p>
    <w:p w:rsidR="005165CA" w:rsidRDefault="005165CA" w:rsidP="005165CA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Так, в основній групі за рік спостережень показник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РМА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знизився на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42,8%.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Причому такий результат встановлений при лікуванні шляхом заст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сування мукозального гелю та пробіотичного препарату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Така ж тенденція встановлена й у групі порівняння протягом усього періоду спостережень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(р &lt; 0,05).</w:t>
      </w:r>
    </w:p>
    <w:p w:rsidR="00763E70" w:rsidRDefault="005165CA" w:rsidP="00516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Цифрові дані, отримані при вивченні пародонтопротекторної ефе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тивності після проведеного лікування в дітей зі стоматитом та 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ГХКГ,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 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тікали в першому гострому періоді або в періоді рецидиву основного захв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рювання крові, наприкінці лікування дорівнювали 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25,5%,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ремісії 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42,6%.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групі порівняння пародонтопротекторна ефективність була більше 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20%.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Отже, можливо зробити висновок про достатньо високу пародонтопр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текторну ефективність усіх розроблених методів лікування, які застосовув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лися в дітей з 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ГХКГ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стоматитом на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гострого лімфобластного лейкозу в різні періоди його розвитку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65CA" w:rsidRPr="005165CA" w:rsidRDefault="005165CA" w:rsidP="00516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79E9" w:rsidRPr="00966737" w:rsidRDefault="00F879E9" w:rsidP="002D785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>Таблиц</w:t>
      </w:r>
      <w:r w:rsidR="004D159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5.2</w:t>
      </w:r>
    </w:p>
    <w:p w:rsidR="00F879E9" w:rsidRPr="00966737" w:rsidRDefault="004D1595" w:rsidP="004D15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показників запалення ясен та СОПР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 дітей з ГЛЛ у період ремісії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, М ± m</w:t>
      </w:r>
    </w:p>
    <w:tbl>
      <w:tblPr>
        <w:tblStyle w:val="2"/>
        <w:tblW w:w="971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1560"/>
        <w:gridCol w:w="1559"/>
        <w:gridCol w:w="1559"/>
        <w:gridCol w:w="1526"/>
      </w:tblGrid>
      <w:tr w:rsidR="00F879E9" w:rsidRPr="00966737" w:rsidTr="002D785C">
        <w:trPr>
          <w:cantSplit/>
          <w:trHeight w:val="1320"/>
        </w:trPr>
        <w:tc>
          <w:tcPr>
            <w:tcW w:w="675" w:type="dxa"/>
            <w:textDirection w:val="btLr"/>
            <w:vAlign w:val="center"/>
          </w:tcPr>
          <w:p w:rsidR="00F879E9" w:rsidRPr="004D1595" w:rsidRDefault="004D1595" w:rsidP="004D1595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879E9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ндекс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276" w:type="dxa"/>
            <w:vAlign w:val="center"/>
          </w:tcPr>
          <w:p w:rsidR="00F879E9" w:rsidRPr="004D1595" w:rsidRDefault="004D1595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559" w:type="dxa"/>
            <w:vAlign w:val="center"/>
          </w:tcPr>
          <w:p w:rsidR="002D785C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</w:p>
          <w:p w:rsidR="00F879E9" w:rsidRPr="004D1595" w:rsidRDefault="004D1595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560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4D1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  <w:r w:rsidR="004D15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4D1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 м</w:t>
            </w:r>
            <w:r w:rsidR="004D15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4D1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6 м</w:t>
            </w:r>
            <w:r w:rsidR="004D15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4D1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12 м</w:t>
            </w:r>
            <w:r w:rsidR="004D15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879E9" w:rsidRPr="00966737" w:rsidTr="002D785C">
        <w:trPr>
          <w:cantSplit/>
          <w:trHeight w:val="1325"/>
        </w:trPr>
        <w:tc>
          <w:tcPr>
            <w:tcW w:w="675" w:type="dxa"/>
            <w:vMerge w:val="restart"/>
            <w:textDirection w:val="btLr"/>
            <w:vAlign w:val="center"/>
          </w:tcPr>
          <w:p w:rsidR="00F879E9" w:rsidRPr="00966737" w:rsidRDefault="00F879E9" w:rsidP="002D785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РМА, %</w:t>
            </w:r>
          </w:p>
        </w:tc>
        <w:tc>
          <w:tcPr>
            <w:tcW w:w="1276" w:type="dxa"/>
            <w:textDirection w:val="btLr"/>
            <w:vAlign w:val="center"/>
          </w:tcPr>
          <w:p w:rsidR="00F879E9" w:rsidRPr="004D1595" w:rsidRDefault="004D1595" w:rsidP="002D785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38,42±1,93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60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22,71±1,14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19,45±0,98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20,53±1,03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21,97±1,11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7C2C06">
        <w:trPr>
          <w:cantSplit/>
          <w:trHeight w:val="1720"/>
        </w:trPr>
        <w:tc>
          <w:tcPr>
            <w:tcW w:w="675" w:type="dxa"/>
            <w:vMerge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879E9" w:rsidRPr="007C2C06" w:rsidRDefault="007C2C06" w:rsidP="007C2C06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38,02±1,91</w:t>
            </w:r>
          </w:p>
        </w:tc>
        <w:tc>
          <w:tcPr>
            <w:tcW w:w="1560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24,15±1,21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24,71±1,24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25,37±1,27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26,89±1,35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</w:tr>
      <w:tr w:rsidR="00F879E9" w:rsidRPr="00966737" w:rsidTr="007D517D">
        <w:trPr>
          <w:cantSplit/>
          <w:trHeight w:val="1683"/>
        </w:trPr>
        <w:tc>
          <w:tcPr>
            <w:tcW w:w="675" w:type="dxa"/>
            <w:vMerge w:val="restart"/>
            <w:textDirection w:val="btLr"/>
            <w:vAlign w:val="center"/>
          </w:tcPr>
          <w:p w:rsidR="00F879E9" w:rsidRPr="00966737" w:rsidRDefault="00F879E9" w:rsidP="007C2C06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Кровоточив</w:t>
            </w:r>
            <w:r w:rsidR="007C2C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сть, бал.</w:t>
            </w:r>
          </w:p>
        </w:tc>
        <w:tc>
          <w:tcPr>
            <w:tcW w:w="1276" w:type="dxa"/>
            <w:textDirection w:val="btLr"/>
            <w:vAlign w:val="center"/>
          </w:tcPr>
          <w:p w:rsidR="00F879E9" w:rsidRPr="00966737" w:rsidRDefault="007C2C06" w:rsidP="007C2C06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879E9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сновна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1,83±0,096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60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0,91±0,049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0,74±0,039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0,76±0,039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0,78±0,041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7D517D">
        <w:trPr>
          <w:cantSplit/>
          <w:trHeight w:val="1835"/>
        </w:trPr>
        <w:tc>
          <w:tcPr>
            <w:tcW w:w="675" w:type="dxa"/>
            <w:vMerge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879E9" w:rsidRPr="007C2C06" w:rsidRDefault="007C2C06" w:rsidP="007C2C06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1,81±0,093</w:t>
            </w:r>
          </w:p>
        </w:tc>
        <w:tc>
          <w:tcPr>
            <w:tcW w:w="1560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0,98±0,052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0,85±0,045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0,89±0,046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0,95±0,049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</w:tr>
    </w:tbl>
    <w:p w:rsidR="007D517D" w:rsidRDefault="002D785C" w:rsidP="002D785C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79E9" w:rsidRPr="00966737" w:rsidRDefault="007C2C06" w:rsidP="002D785C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: 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; р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B16CD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6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няння</w:t>
      </w:r>
      <w:r w:rsidR="00B16CD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65CA" w:rsidRDefault="005165CA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79E9" w:rsidRPr="005165CA" w:rsidRDefault="0057200E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Отримані та проаналізовані дані дослідження дають право на думку, що застосування розроблених методів лікування дозволяє досягти зниження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не лише індексів кровоточивості та </w:t>
      </w:r>
      <w:r w:rsidR="00F879E9"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РМА,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але й зменшити набряклість, гіп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71673C">
        <w:rPr>
          <w:rFonts w:ascii="Times New Roman" w:eastAsia="Times New Roman" w:hAnsi="Times New Roman" w:cs="Times New Roman"/>
          <w:sz w:val="28"/>
          <w:szCs w:val="28"/>
          <w:lang w:val="uk-UA"/>
        </w:rPr>
        <w:t>ремію, тобто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ознаки запалення </w:t>
      </w:r>
      <w:r w:rsidR="0071673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тканинах пародонту та СОПР у дітей у всіх групах спостереження, основне захворювання яких знаходилося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різних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ріодах від первинного гострого до ремісії та рецидив</w:t>
      </w:r>
      <w:r w:rsidR="00EE1B0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879E9"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97E6E" w:rsidRDefault="0057200E" w:rsidP="00097E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отримані результати зниження цифрових значень інде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сів кровоточивості та РМА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</w:t>
      </w:r>
      <w:r w:rsidR="00F879E9" w:rsidRPr="008213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ГХКГ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стоматитом, які протікали </w:t>
      </w:r>
      <w:r w:rsidR="0071673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зні періоди розвитку ГЛЛ, свідчили про достатньо високий протизапальний ефект розроблених способів лікування</w:t>
      </w:r>
      <w:r w:rsidR="00F879E9" w:rsidRPr="008213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16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 слід відзначити, що лік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1673C">
        <w:rPr>
          <w:rFonts w:ascii="Times New Roman" w:eastAsia="Times New Roman" w:hAnsi="Times New Roman" w:cs="Times New Roman"/>
          <w:sz w:val="28"/>
          <w:szCs w:val="28"/>
          <w:lang w:val="uk-UA"/>
        </w:rPr>
        <w:t>вання запа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льних захворювань тканин пародонту та слизової оболонки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рожнині рота напряму залежить від періоду перебігу основного захворюва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F879E9" w:rsidRP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 при лікуванн</w:t>
      </w:r>
      <w:r w:rsidR="0071673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зі стоматологічною патологією в періоді ремісії ГЛЛ достатньо місцевого застосування мукозального геля та пробіотика</w:t>
      </w:r>
      <w:r w:rsidR="00F879E9" w:rsidRP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нак у дітей</w:t>
      </w:r>
      <w:r w:rsidR="0006510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стоматологічні захворювання яких протікали </w:t>
      </w:r>
      <w:r w:rsidR="005E78D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 гостр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20C1E">
        <w:rPr>
          <w:rFonts w:ascii="Times New Roman" w:eastAsia="Times New Roman" w:hAnsi="Times New Roman" w:cs="Times New Roman"/>
          <w:sz w:val="28"/>
          <w:szCs w:val="28"/>
          <w:lang w:val="uk-UA"/>
        </w:rPr>
        <w:t>му або в періоді рецидиву ГЛЛ</w:t>
      </w:r>
      <w:r w:rsidR="00065107">
        <w:rPr>
          <w:rFonts w:ascii="Times New Roman" w:eastAsia="Times New Roman" w:hAnsi="Times New Roman" w:cs="Times New Roman"/>
          <w:sz w:val="28"/>
          <w:szCs w:val="28"/>
          <w:lang w:val="uk-UA"/>
        </w:rPr>
        <w:t>, необхідно використовувати кверцетин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65107">
        <w:rPr>
          <w:rFonts w:ascii="Times New Roman" w:eastAsia="Times New Roman" w:hAnsi="Times New Roman" w:cs="Times New Roman"/>
          <w:sz w:val="28"/>
          <w:szCs w:val="28"/>
          <w:lang w:val="uk-UA"/>
        </w:rPr>
        <w:t>ий мукозальний гель та гель з поліфенолами лише у комбінації з пробіоти</w:t>
      </w:r>
      <w:r w:rsidR="00065107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065107">
        <w:rPr>
          <w:rFonts w:ascii="Times New Roman" w:eastAsia="Times New Roman" w:hAnsi="Times New Roman" w:cs="Times New Roman"/>
          <w:sz w:val="28"/>
          <w:szCs w:val="28"/>
          <w:lang w:val="uk-UA"/>
        </w:rPr>
        <w:t>ним та протигрибковим препаратами</w:t>
      </w:r>
      <w:r w:rsidR="00F879E9" w:rsidRPr="000651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651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Причому протизапальний ефект, отр</w:t>
      </w:r>
      <w:r w:rsidR="0006510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65107">
        <w:rPr>
          <w:rFonts w:ascii="Times New Roman" w:eastAsia="Times New Roman" w:hAnsi="Times New Roman" w:cs="Times New Roman"/>
          <w:sz w:val="28"/>
          <w:szCs w:val="28"/>
          <w:lang w:val="uk-UA"/>
        </w:rPr>
        <w:t>маний після лікування дітей, що спостерігаються, напряму залежить від о</w:t>
      </w:r>
      <w:r w:rsidR="00065107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065107">
        <w:rPr>
          <w:rFonts w:ascii="Times New Roman" w:eastAsia="Times New Roman" w:hAnsi="Times New Roman" w:cs="Times New Roman"/>
          <w:sz w:val="28"/>
          <w:szCs w:val="28"/>
          <w:lang w:val="uk-UA"/>
        </w:rPr>
        <w:t>раного способу лікування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1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312E5" w:rsidRPr="007D517D" w:rsidRDefault="007D517D" w:rsidP="00097E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Ефективність застосування розроблених лікувально – профілактичних комплексів продемонстровано </w:t>
      </w:r>
      <w:r w:rsidR="001752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09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52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7E6E">
        <w:rPr>
          <w:rFonts w:ascii="Times New Roman" w:eastAsia="Times New Roman" w:hAnsi="Times New Roman" w:cs="Times New Roman"/>
          <w:sz w:val="28"/>
          <w:szCs w:val="28"/>
          <w:lang w:val="uk-UA"/>
        </w:rPr>
        <w:t>клінічних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прикладах 1( рис.</w:t>
      </w:r>
      <w:r w:rsidRPr="007D51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5.1.,</w:t>
      </w:r>
      <w:r w:rsidRPr="007D51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5.2.) та 2</w:t>
      </w:r>
      <w:r w:rsidR="001752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 рис.</w:t>
      </w:r>
      <w:r w:rsidRPr="007D51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5.3.,</w:t>
      </w:r>
      <w:r w:rsidRPr="007D51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5.4.).</w:t>
      </w:r>
    </w:p>
    <w:p w:rsidR="00B16CDF" w:rsidRDefault="00B16CDF" w:rsidP="00B31A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43EB" w:rsidRDefault="004043EB" w:rsidP="00B31A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65CA" w:rsidRDefault="005165CA" w:rsidP="00B31A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65CA" w:rsidRDefault="005165CA" w:rsidP="00B31A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65CA" w:rsidRDefault="005165CA" w:rsidP="00B31A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65CA" w:rsidRDefault="005165CA" w:rsidP="007D51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43EB" w:rsidRPr="004043EB" w:rsidRDefault="004043EB" w:rsidP="00B31A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43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ПРИКЛАД</w:t>
      </w:r>
      <w:r w:rsidR="00077C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043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4043EB" w:rsidRDefault="00A33B35" w:rsidP="00B31A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4043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9525" cy="2526277"/>
            <wp:effectExtent l="19050" t="0" r="0" b="0"/>
            <wp:docPr id="4" name="Рисунок 4" descr="D:\Documents\Desktop\SpQjbgrM4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esktop\SpQjbgrM4x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786" cy="253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EB" w:rsidRDefault="00C46AB7" w:rsidP="00AB0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Рис. 5.1. </w:t>
      </w:r>
      <w:r w:rsidR="004043EB">
        <w:rPr>
          <w:rFonts w:ascii="Times New Roman" w:eastAsia="Times New Roman" w:hAnsi="Times New Roman" w:cs="Times New Roman"/>
          <w:sz w:val="28"/>
          <w:szCs w:val="28"/>
          <w:lang w:val="uk-UA"/>
        </w:rPr>
        <w:t>Пацієнт А.</w:t>
      </w:r>
      <w:r w:rsidR="008C40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14 років. </w:t>
      </w:r>
      <w:r w:rsidR="004043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Звернувся зі скаргами на наявність б</w:t>
      </w:r>
      <w:r w:rsidR="004043E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4043EB">
        <w:rPr>
          <w:rFonts w:ascii="Times New Roman" w:eastAsia="Times New Roman" w:hAnsi="Times New Roman" w:cs="Times New Roman"/>
          <w:sz w:val="28"/>
          <w:szCs w:val="28"/>
          <w:lang w:val="uk-UA"/>
        </w:rPr>
        <w:t>лючих елементів виси</w:t>
      </w:r>
      <w:r w:rsidR="008C403C">
        <w:rPr>
          <w:rFonts w:ascii="Times New Roman" w:eastAsia="Times New Roman" w:hAnsi="Times New Roman" w:cs="Times New Roman"/>
          <w:sz w:val="28"/>
          <w:szCs w:val="28"/>
          <w:lang w:val="uk-UA"/>
        </w:rPr>
        <w:t>пання на язиці,неможливість прий</w:t>
      </w:r>
      <w:r w:rsidR="004043EB">
        <w:rPr>
          <w:rFonts w:ascii="Times New Roman" w:eastAsia="Times New Roman" w:hAnsi="Times New Roman" w:cs="Times New Roman"/>
          <w:sz w:val="28"/>
          <w:szCs w:val="28"/>
          <w:lang w:val="uk-UA"/>
        </w:rPr>
        <w:t>мання їжі.</w:t>
      </w:r>
    </w:p>
    <w:p w:rsidR="0093144A" w:rsidRPr="008C403C" w:rsidRDefault="004043EB" w:rsidP="00C61E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0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Об’єктивно: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спинці, боковій поверхні та кінчику язика</w:t>
      </w:r>
      <w:r w:rsidR="007733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спостеріг</w:t>
      </w:r>
      <w:r w:rsidR="0077331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318">
        <w:rPr>
          <w:rFonts w:ascii="Times New Roman" w:eastAsia="Times New Roman" w:hAnsi="Times New Roman" w:cs="Times New Roman"/>
          <w:sz w:val="28"/>
          <w:szCs w:val="28"/>
          <w:lang w:val="uk-UA"/>
        </w:rPr>
        <w:t>ються афти круглої форми, розміром 0,5 та 1 см, які мають яскраво гіперем</w:t>
      </w:r>
      <w:r w:rsidR="0077331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C403C">
        <w:rPr>
          <w:rFonts w:ascii="Times New Roman" w:eastAsia="Times New Roman" w:hAnsi="Times New Roman" w:cs="Times New Roman"/>
          <w:sz w:val="28"/>
          <w:szCs w:val="28"/>
          <w:lang w:val="uk-UA"/>
        </w:rPr>
        <w:t>ваний ободок та виступають над поверхнею слизової оболонки  язика</w:t>
      </w:r>
      <w:r w:rsidR="007733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C40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Афти з</w:t>
      </w:r>
      <w:r w:rsidR="008C403C" w:rsidRPr="008C403C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C403C">
        <w:rPr>
          <w:rFonts w:ascii="Times New Roman" w:eastAsia="Times New Roman" w:hAnsi="Times New Roman" w:cs="Times New Roman"/>
          <w:sz w:val="28"/>
          <w:szCs w:val="28"/>
          <w:lang w:val="uk-UA"/>
        </w:rPr>
        <w:t>явилися після про</w:t>
      </w:r>
      <w:r w:rsidR="00617DB8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веденого курсу хіміотерапії  ГЛЛ</w:t>
      </w:r>
      <w:r w:rsidR="00C61E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3144A" w:rsidRDefault="008C403C" w:rsidP="009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0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Ді</w:t>
      </w:r>
      <w:r w:rsidR="00AB0A7F" w:rsidRPr="008C40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агноз:</w:t>
      </w:r>
      <w:r w:rsidR="00AB0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ХРАС на тлі ГЛЛ у першому гострому періоді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7DB8" w:rsidRPr="004043EB" w:rsidRDefault="00617DB8" w:rsidP="009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43EB" w:rsidRDefault="00617DB8" w:rsidP="00B31A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12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077C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2500757"/>
            <wp:effectExtent l="19050" t="0" r="9525" b="0"/>
            <wp:docPr id="5" name="Рисунок 5" descr="D:\Documents\Desktop\f7CGEaKOG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Desktop\f7CGEaKOG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863" cy="250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EB" w:rsidRDefault="00C46AB7" w:rsidP="0001224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Рис. 5.2. </w:t>
      </w:r>
      <w:r w:rsidR="00077C82">
        <w:rPr>
          <w:rFonts w:ascii="Times New Roman" w:eastAsia="Times New Roman" w:hAnsi="Times New Roman" w:cs="Times New Roman"/>
          <w:sz w:val="28"/>
          <w:szCs w:val="28"/>
          <w:lang w:val="uk-UA"/>
        </w:rPr>
        <w:t>Пацієнт А</w:t>
      </w:r>
      <w:r w:rsidR="008C40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14 років, </w:t>
      </w:r>
      <w:r w:rsidR="00077C82">
        <w:rPr>
          <w:rFonts w:ascii="Times New Roman" w:eastAsia="Times New Roman" w:hAnsi="Times New Roman" w:cs="Times New Roman"/>
          <w:sz w:val="28"/>
          <w:szCs w:val="28"/>
          <w:lang w:val="uk-UA"/>
        </w:rPr>
        <w:t>після</w:t>
      </w:r>
      <w:r w:rsidR="008C40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проведеного курсу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7C82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лікування  ро</w:t>
      </w:r>
      <w:r w:rsidR="00077C8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77C82">
        <w:rPr>
          <w:rFonts w:ascii="Times New Roman" w:eastAsia="Times New Roman" w:hAnsi="Times New Roman" w:cs="Times New Roman"/>
          <w:sz w:val="28"/>
          <w:szCs w:val="28"/>
          <w:lang w:val="uk-UA"/>
        </w:rPr>
        <w:t>робленим  ЛПК</w:t>
      </w:r>
      <w:r w:rsidR="00617DB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77C82" w:rsidRDefault="00077C82" w:rsidP="00077C8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43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ПРИКЛАД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077C82" w:rsidRPr="004043EB" w:rsidRDefault="0001224D" w:rsidP="00077C8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33B3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43325" cy="2593142"/>
            <wp:effectExtent l="19050" t="0" r="0" b="0"/>
            <wp:docPr id="7" name="Рисунок 7" descr="D:\Documents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60" cy="260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35" w:rsidRDefault="00C46AB7" w:rsidP="00A33B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Рис. 5.3. </w:t>
      </w:r>
      <w:r w:rsidR="00AB3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Пацієнт </w:t>
      </w:r>
      <w:r w:rsidR="00A33B35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  <w:r w:rsidR="00CC3B3C">
        <w:rPr>
          <w:rFonts w:ascii="Times New Roman" w:eastAsia="Times New Roman" w:hAnsi="Times New Roman" w:cs="Times New Roman"/>
          <w:sz w:val="28"/>
          <w:szCs w:val="28"/>
          <w:lang w:val="uk-UA"/>
        </w:rPr>
        <w:t>,17 років.</w:t>
      </w:r>
      <w:r w:rsidR="00A33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</w:t>
      </w:r>
      <w:r w:rsidR="00AB30EB" w:rsidRPr="00CC3B3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33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зі скаргами </w:t>
      </w:r>
      <w:r w:rsidR="00825AC5">
        <w:rPr>
          <w:rFonts w:ascii="Times New Roman" w:eastAsia="Times New Roman" w:hAnsi="Times New Roman" w:cs="Times New Roman"/>
          <w:sz w:val="28"/>
          <w:szCs w:val="28"/>
          <w:lang w:val="uk-UA"/>
        </w:rPr>
        <w:t>на свербіж, печіння та болючисть в порожнини рота,</w:t>
      </w:r>
      <w:r w:rsidR="00825AC5" w:rsidRPr="00825A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5AC5">
        <w:rPr>
          <w:rFonts w:ascii="Times New Roman" w:eastAsia="Times New Roman" w:hAnsi="Times New Roman" w:cs="Times New Roman"/>
          <w:sz w:val="28"/>
          <w:szCs w:val="28"/>
          <w:lang w:val="uk-UA"/>
        </w:rPr>
        <w:t>неможливість приймання їжі.</w:t>
      </w:r>
    </w:p>
    <w:p w:rsidR="00A33B35" w:rsidRDefault="00A33B35" w:rsidP="00A33B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Об’єктивно:</w:t>
      </w:r>
      <w:r w:rsidRPr="00A33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0EFB">
        <w:rPr>
          <w:rFonts w:ascii="Times New Roman" w:eastAsia="Times New Roman" w:hAnsi="Times New Roman" w:cs="Times New Roman"/>
          <w:sz w:val="28"/>
          <w:szCs w:val="28"/>
          <w:lang w:val="uk-UA"/>
        </w:rPr>
        <w:t>слизова оболонка щік,</w:t>
      </w:r>
      <w:r w:rsidR="009728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0EFB">
        <w:rPr>
          <w:rFonts w:ascii="Times New Roman" w:eastAsia="Times New Roman" w:hAnsi="Times New Roman" w:cs="Times New Roman"/>
          <w:sz w:val="28"/>
          <w:szCs w:val="28"/>
          <w:lang w:val="uk-UA"/>
        </w:rPr>
        <w:t>язика, піднебіння</w:t>
      </w:r>
      <w:r w:rsidR="009728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гіперемована, вкрита білуватим нальотом, </w:t>
      </w:r>
      <w:r w:rsidR="00617DB8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зняття якого утворюється болюча, яскраво червона поверхня, яка кровить. Нальот з</w:t>
      </w:r>
      <w:r w:rsidR="00617DB8" w:rsidRPr="008C403C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617DB8">
        <w:rPr>
          <w:rFonts w:ascii="Times New Roman" w:eastAsia="Times New Roman" w:hAnsi="Times New Roman" w:cs="Times New Roman"/>
          <w:sz w:val="28"/>
          <w:szCs w:val="28"/>
          <w:lang w:val="uk-UA"/>
        </w:rPr>
        <w:t>явився після проведеного курсу х</w:t>
      </w:r>
      <w:r w:rsidR="00617DB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17DB8">
        <w:rPr>
          <w:rFonts w:ascii="Times New Roman" w:eastAsia="Times New Roman" w:hAnsi="Times New Roman" w:cs="Times New Roman"/>
          <w:sz w:val="28"/>
          <w:szCs w:val="28"/>
          <w:lang w:val="uk-UA"/>
        </w:rPr>
        <w:t>міотерапії  ГЛЛ ( рецидив основного захворювання).</w:t>
      </w:r>
    </w:p>
    <w:p w:rsidR="00A33B35" w:rsidRDefault="00A33B35" w:rsidP="00A33B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</w:t>
      </w:r>
      <w:r w:rsid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агноз: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0180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Кандидозний  стоматит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на тлі  ГЛЛ  у  періоді рецидиву</w:t>
      </w:r>
      <w:r w:rsidR="00680F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224D" w:rsidRPr="004043EB" w:rsidRDefault="0001224D" w:rsidP="00A33B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B35" w:rsidRDefault="0001224D" w:rsidP="00B31A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3325" cy="2579203"/>
            <wp:effectExtent l="19050" t="0" r="9525" b="0"/>
            <wp:docPr id="8" name="Рисунок 8" descr="D:\Documents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135" cy="259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EB" w:rsidRPr="00B16CDF" w:rsidRDefault="00C46AB7" w:rsidP="00617D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Рис. 5.4. </w:t>
      </w:r>
      <w:r w:rsidR="00617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Пацієнт К.,17 років, </w:t>
      </w:r>
      <w:r w:rsidR="00012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 </w:t>
      </w:r>
      <w:r w:rsidR="00617DB8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проведеного курсу лікування  ро</w:t>
      </w:r>
      <w:r w:rsidR="00617DB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17DB8">
        <w:rPr>
          <w:rFonts w:ascii="Times New Roman" w:eastAsia="Times New Roman" w:hAnsi="Times New Roman" w:cs="Times New Roman"/>
          <w:sz w:val="28"/>
          <w:szCs w:val="28"/>
          <w:lang w:val="uk-UA"/>
        </w:rPr>
        <w:t>робленим  ЛПК.</w:t>
      </w:r>
    </w:p>
    <w:p w:rsidR="00F879E9" w:rsidRPr="00056592" w:rsidRDefault="00F879E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5659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5.2.    </w:t>
      </w:r>
      <w:r w:rsidR="000241E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Динаміка індексної оцінки стану гігієни порожнини рота під ді</w:t>
      </w:r>
      <w:r w:rsidR="00AC67B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єю розроблених  методів лікування</w:t>
      </w:r>
      <w:r w:rsidRPr="0005659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879E9" w:rsidRPr="00C00774" w:rsidRDefault="000241E1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Гігієнічний стан порожнини рота є одним з найважливіших факторів та пусковим механізмом для розвитку запа</w:t>
      </w:r>
      <w:r w:rsidR="00C00774">
        <w:rPr>
          <w:rFonts w:ascii="Times New Roman" w:eastAsia="Times New Roman" w:hAnsi="Times New Roman" w:cs="Times New Roman"/>
          <w:sz w:val="28"/>
          <w:szCs w:val="28"/>
          <w:lang w:val="uk-UA"/>
        </w:rPr>
        <w:t>льних захворювань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у тканинах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родонту, так і </w:t>
      </w:r>
      <w:r w:rsidR="00C0077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слизовій оболонці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 актуальн</w:t>
      </w:r>
      <w:r w:rsidR="008372C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для дитячого віку. Відомо, що систематичне застосування гігієнічних засобів у дітей із за</w:t>
      </w:r>
      <w:r w:rsidR="00C00774">
        <w:rPr>
          <w:rFonts w:ascii="Times New Roman" w:eastAsia="Times New Roman" w:hAnsi="Times New Roman" w:cs="Times New Roman"/>
          <w:sz w:val="28"/>
          <w:szCs w:val="28"/>
          <w:lang w:val="uk-UA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ними захворюваннями СОПР та хронічними стоматитами забезпечує певний профілактичний ефект. Однак, рекомендації  </w:t>
      </w:r>
      <w:r w:rsidR="00C00774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B16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таких дітей зазвичай зв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дяться до використання різних лікувально-профілактичних паст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 не завжди враховується вплив на стан СОПР загального соматичного захв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рювання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Такий підхід не може гарантувати виражений позитивний результат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 адекватного гігієнічного стану органів порожнини рота та ус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нення ознак запалення </w:t>
      </w:r>
      <w:r w:rsidR="007A723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СОПР та тканинах пародонту, особливо </w:t>
      </w:r>
      <w:r w:rsidR="00C0077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 які мають </w:t>
      </w:r>
      <w:r w:rsidR="00C0077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анамнезі різні стаді</w:t>
      </w:r>
      <w:r w:rsidR="00B16CDF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гострого лімфобластного лейкозу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 вимога до гігієни порожнини рота </w:t>
      </w:r>
      <w:r w:rsidR="00C0077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цих дітей </w:t>
      </w:r>
      <w:r w:rsidR="00C0077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аспекті не лише лікування, ал</w:t>
      </w:r>
      <w:r w:rsidR="008372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 й профілактики повинні </w:t>
      </w:r>
      <w:r w:rsidR="00F467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ґ</w:t>
      </w:r>
      <w:r w:rsidR="00C00774" w:rsidRP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рунтуватись</w:t>
      </w:r>
      <w:r w:rsidR="00C007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нових підходах до бачення даної 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блеми, тобто з урахуванням не лише віку дитини, але й схильності до утв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рення 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нього зубного нальоту</w:t>
      </w:r>
      <w:r w:rsidR="00F879E9" w:rsidRPr="00C007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79E9" w:rsidRPr="00966737" w:rsidRDefault="00F879E9" w:rsidP="00F879E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7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Розроблені методи лікування спрямовані на корекцію гігієнічного ст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 порожнини рота 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>сіх вікових груп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Індексна оцінка гігієнічного стану порожнини рота </w:t>
      </w:r>
      <w:r w:rsidR="007A723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генералізованим хронічним катаральним гі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>гівітом та виразково-некротичним стоматитом, що страждають на ГЛЛ та знаходяться на різній стадії його розвитку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застосування розроблених методів лікування представлена в таблицях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5.3 – 5.4.   </w:t>
      </w:r>
    </w:p>
    <w:p w:rsidR="00F879E9" w:rsidRPr="00966737" w:rsidRDefault="00F879E9" w:rsidP="00F879E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sz w:val="28"/>
          <w:szCs w:val="28"/>
        </w:rPr>
        <w:tab/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цифрових даних, наведених у цих таблицях, дає право стве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джувати, що застосування 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комплексі лізоцим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>ого ополіскувача з мук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зальними гелями, що містять поліфеноли, флавоноли, </w:t>
      </w:r>
      <w:r w:rsidR="004673C9">
        <w:rPr>
          <w:rFonts w:ascii="Times New Roman" w:eastAsia="Times New Roman" w:hAnsi="Times New Roman" w:cs="Times New Roman"/>
          <w:sz w:val="28"/>
          <w:szCs w:val="28"/>
          <w:lang w:val="uk-UA"/>
        </w:rPr>
        <w:t>антоціани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>, кахетіни та мають очищу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вальні</w:t>
      </w:r>
      <w:r w:rsidR="00434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протизапальні властивості</w:t>
      </w:r>
      <w:r w:rsidR="00B16CD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достовірно знижували п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казники індексу </w:t>
      </w:r>
      <w:r w:rsidR="00F16417">
        <w:rPr>
          <w:rFonts w:ascii="Times New Roman" w:eastAsia="Times New Roman" w:hAnsi="Times New Roman" w:cs="Times New Roman"/>
          <w:sz w:val="28"/>
          <w:szCs w:val="28"/>
        </w:rPr>
        <w:t>Silness-Loe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всіх дітей як у першому гострому періоді та періоді рецидиву основного захворювання, так і в періоді ремісії за весь час 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спостережень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(р &lt; 0,05). 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подібні зміни встановлені 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дітей груп порівняння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9E9" w:rsidRPr="00966737" w:rsidRDefault="00F467DB" w:rsidP="00F467DB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Однак найбільш суттєві зміни цифрових значень індексу </w:t>
      </w:r>
      <w:r w:rsidR="00F16417">
        <w:rPr>
          <w:rFonts w:ascii="Times New Roman" w:eastAsia="Times New Roman" w:hAnsi="Times New Roman" w:cs="Times New Roman"/>
          <w:sz w:val="28"/>
          <w:szCs w:val="28"/>
        </w:rPr>
        <w:t>Silness</w:t>
      </w:r>
      <w:r w:rsidR="00F16417" w:rsidRP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16417">
        <w:rPr>
          <w:rFonts w:ascii="Times New Roman" w:eastAsia="Times New Roman" w:hAnsi="Times New Roman" w:cs="Times New Roman"/>
          <w:sz w:val="28"/>
          <w:szCs w:val="28"/>
        </w:rPr>
        <w:t>Loe</w:t>
      </w:r>
      <w:r w:rsidR="00F879E9" w:rsidRPr="00F467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>вст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новлені у дітей, які мали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порожнині рота виразкові стоматити та генерал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зовану форму запалення тканин пародонту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гострому періоді та періоді р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>цидив</w:t>
      </w:r>
      <w:r w:rsidR="00F1641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основного захворювання</w:t>
      </w:r>
      <w:r w:rsidR="00F879E9" w:rsidRP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групі дітей та групі порі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 гострому періоді, показник індексу, що вивчається, до п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F70A0">
        <w:rPr>
          <w:rFonts w:ascii="Times New Roman" w:eastAsia="Times New Roman" w:hAnsi="Times New Roman" w:cs="Times New Roman"/>
          <w:sz w:val="28"/>
          <w:szCs w:val="28"/>
          <w:lang w:val="uk-UA"/>
        </w:rPr>
        <w:t>чатку проведення лікувальних заходів складав</w:t>
      </w:r>
      <w:r w:rsidR="00D94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="00F879E9" w:rsidRPr="00F467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2,32 ± 0,12 бал</w:t>
      </w:r>
      <w:r w:rsidR="00D94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до </w:t>
      </w:r>
      <w:r w:rsidR="00F879E9" w:rsidRPr="00F467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2,35 ± 0,12 </w:t>
      </w:r>
      <w:r w:rsidR="00D941FD">
        <w:rPr>
          <w:rFonts w:ascii="Times New Roman" w:eastAsia="Times New Roman" w:hAnsi="Times New Roman" w:cs="Times New Roman"/>
          <w:sz w:val="28"/>
          <w:szCs w:val="28"/>
          <w:lang w:val="uk-UA"/>
        </w:rPr>
        <w:t>балів</w:t>
      </w:r>
      <w:r w:rsidR="00F879E9" w:rsidRPr="00F467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94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Однак вже через місяць після початку лікування цифрові значення індексу </w:t>
      </w:r>
      <w:r w:rsidR="00F16417">
        <w:rPr>
          <w:rFonts w:ascii="Times New Roman" w:eastAsia="Times New Roman" w:hAnsi="Times New Roman" w:cs="Times New Roman"/>
          <w:sz w:val="28"/>
          <w:szCs w:val="28"/>
        </w:rPr>
        <w:t>Silness</w:t>
      </w:r>
      <w:r w:rsidR="00F16417" w:rsidRPr="00284E3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16417">
        <w:rPr>
          <w:rFonts w:ascii="Times New Roman" w:eastAsia="Times New Roman" w:hAnsi="Times New Roman" w:cs="Times New Roman"/>
          <w:sz w:val="28"/>
          <w:szCs w:val="28"/>
        </w:rPr>
        <w:t>Loe</w:t>
      </w:r>
      <w:r w:rsidR="00F879E9" w:rsidRPr="00284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достовірно знизилися до </w:t>
      </w:r>
      <w:r w:rsidR="00F879E9" w:rsidRPr="00284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1,19 ± 0,061 </w:t>
      </w:r>
      <w:r w:rsidR="00D94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балів у основній групі та до </w:t>
      </w:r>
      <w:r w:rsidR="00F879E9" w:rsidRPr="00284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1,35 ± 0,068 </w:t>
      </w:r>
      <w:r w:rsidR="00D941FD">
        <w:rPr>
          <w:rFonts w:ascii="Times New Roman" w:eastAsia="Times New Roman" w:hAnsi="Times New Roman" w:cs="Times New Roman"/>
          <w:sz w:val="28"/>
          <w:szCs w:val="28"/>
          <w:lang w:val="uk-UA"/>
        </w:rPr>
        <w:t>балів у групі порівняння</w:t>
      </w:r>
      <w:r w:rsidR="00F879E9" w:rsidRPr="00284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941FD"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 через 6 місяців було встановлен</w:t>
      </w:r>
      <w:r w:rsidR="00F164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D941FD">
        <w:rPr>
          <w:rFonts w:ascii="Times New Roman" w:eastAsia="Times New Roman" w:hAnsi="Times New Roman" w:cs="Times New Roman"/>
          <w:sz w:val="28"/>
          <w:szCs w:val="28"/>
          <w:lang w:val="uk-UA"/>
        </w:rPr>
        <w:t>незначне збільшення</w:t>
      </w:r>
      <w:r w:rsidR="009028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значень даного гігієнічного індексу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028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обох досліджуваних груп до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1,33 ± 0,067 </w:t>
      </w:r>
      <w:r w:rsidR="009028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балів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028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та до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1,63 ± 0,082 </w:t>
      </w:r>
      <w:r w:rsidR="00902866">
        <w:rPr>
          <w:rFonts w:ascii="Times New Roman" w:eastAsia="Times New Roman" w:hAnsi="Times New Roman" w:cs="Times New Roman"/>
          <w:sz w:val="28"/>
          <w:szCs w:val="28"/>
          <w:lang w:val="uk-UA"/>
        </w:rPr>
        <w:t>балів – у групі порівняння, але при цьому вони залишалися достовірно нижч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ими </w:t>
      </w:r>
      <w:r w:rsidR="009028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порівняно з вихідними даними на початку лікування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(табл. 5.3).</w:t>
      </w:r>
    </w:p>
    <w:p w:rsidR="00F879E9" w:rsidRPr="00966737" w:rsidRDefault="00902866" w:rsidP="00F879E9">
      <w:pPr>
        <w:tabs>
          <w:tab w:val="left" w:pos="0"/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Така ж тенденція достовірних змін показників індексу, що вивчається, була встановлена й через рік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(р &lt; 0,05).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 навіть у дітей у групі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рівняння зміни показників індексу </w:t>
      </w:r>
      <w:r w:rsidR="00F16417">
        <w:rPr>
          <w:rFonts w:ascii="Times New Roman" w:eastAsia="Times New Roman" w:hAnsi="Times New Roman" w:cs="Times New Roman"/>
          <w:sz w:val="28"/>
          <w:szCs w:val="28"/>
        </w:rPr>
        <w:t>Silness-Loe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бік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зменшення були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стовірні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(р &lt; 0,05)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порівняно з вихідними даними, що пов</w:t>
      </w:r>
      <w:r w:rsidRPr="00902866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язано, вірогідно, з використанням зубного </w:t>
      </w:r>
      <w:r w:rsidRPr="00350267">
        <w:rPr>
          <w:rFonts w:ascii="Times New Roman" w:eastAsia="Times New Roman" w:hAnsi="Times New Roman" w:cs="Times New Roman"/>
          <w:sz w:val="28"/>
          <w:szCs w:val="28"/>
          <w:lang w:val="uk-UA"/>
        </w:rPr>
        <w:t>гігієнічного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еліксиру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785C" w:rsidRDefault="00902866" w:rsidP="006E07DF">
      <w:pPr>
        <w:tabs>
          <w:tab w:val="left" w:pos="0"/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індексу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OHI-S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ц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их же дітей за час спостережень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групі, так і 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групі порівняння показали позитивну динаміку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5CA" w:rsidRPr="00966737" w:rsidRDefault="005165CA" w:rsidP="00516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цифрові значення індексу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OHI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достовірно змінилися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 &lt; 0,05)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обох досліджуваних групах по відношенню до вихідних даних на початку лікування вже через місяць спостережень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2,21±0,11 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1,13±0,057 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у основній групі та від 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>2,19±0,11бал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до 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>1,29±0,065 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 у групі пор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вняння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цьому, звертає на себе увагу той факт, що зміни показників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ного індексу не залежали від методу лікування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(табл. 5.3). </w:t>
      </w:r>
    </w:p>
    <w:p w:rsidR="005165CA" w:rsidRPr="005165CA" w:rsidRDefault="005165CA" w:rsidP="006E07DF">
      <w:pPr>
        <w:tabs>
          <w:tab w:val="left" w:pos="0"/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3F03" w:rsidRDefault="000E3F03" w:rsidP="005165C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F879E9" w:rsidRPr="00966737" w:rsidRDefault="00F879E9" w:rsidP="00F879E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</w:t>
      </w:r>
      <w:r w:rsidR="0090286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5.3</w:t>
      </w:r>
    </w:p>
    <w:p w:rsidR="00F879E9" w:rsidRPr="00966737" w:rsidRDefault="00902866" w:rsidP="00F879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зміни показників стану гігієни порожнини рота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 у перший гострий період і в період рецидиву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, М ± m</w:t>
      </w:r>
    </w:p>
    <w:tbl>
      <w:tblPr>
        <w:tblStyle w:val="a4"/>
        <w:tblW w:w="971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559"/>
        <w:gridCol w:w="1559"/>
        <w:gridCol w:w="1701"/>
        <w:gridCol w:w="1526"/>
      </w:tblGrid>
      <w:tr w:rsidR="00F879E9" w:rsidRPr="00966737" w:rsidTr="002D785C">
        <w:trPr>
          <w:cantSplit/>
          <w:trHeight w:val="1576"/>
        </w:trPr>
        <w:tc>
          <w:tcPr>
            <w:tcW w:w="675" w:type="dxa"/>
            <w:textDirection w:val="btLr"/>
            <w:vAlign w:val="center"/>
          </w:tcPr>
          <w:p w:rsidR="00F879E9" w:rsidRPr="00902866" w:rsidRDefault="00902866" w:rsidP="00902866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879E9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ндекс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276" w:type="dxa"/>
            <w:vAlign w:val="center"/>
          </w:tcPr>
          <w:p w:rsidR="00F879E9" w:rsidRPr="00902866" w:rsidRDefault="00902866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418" w:type="dxa"/>
            <w:vAlign w:val="center"/>
          </w:tcPr>
          <w:p w:rsidR="002D785C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</w:p>
          <w:p w:rsidR="00F879E9" w:rsidRPr="00902866" w:rsidRDefault="00902866" w:rsidP="009028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9028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  <w:r w:rsidR="009028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9028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 м</w:t>
            </w:r>
            <w:r w:rsidR="009028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701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9028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6 м</w:t>
            </w:r>
            <w:r w:rsidR="009028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9028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12 м</w:t>
            </w:r>
            <w:r w:rsidR="009028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879E9" w:rsidRPr="00966737" w:rsidTr="003C5DDA">
        <w:trPr>
          <w:cantSplit/>
          <w:trHeight w:val="1805"/>
        </w:trPr>
        <w:tc>
          <w:tcPr>
            <w:tcW w:w="675" w:type="dxa"/>
            <w:vMerge w:val="restart"/>
            <w:textDirection w:val="btLr"/>
            <w:vAlign w:val="center"/>
          </w:tcPr>
          <w:p w:rsidR="00F879E9" w:rsidRPr="00966737" w:rsidRDefault="00F879E9" w:rsidP="002D78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OHI-S, бал.</w:t>
            </w:r>
          </w:p>
        </w:tc>
        <w:tc>
          <w:tcPr>
            <w:tcW w:w="1276" w:type="dxa"/>
            <w:textDirection w:val="btLr"/>
            <w:vAlign w:val="center"/>
          </w:tcPr>
          <w:p w:rsidR="00F879E9" w:rsidRPr="00966737" w:rsidRDefault="00F879E9" w:rsidP="00902866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</w:p>
        </w:tc>
        <w:tc>
          <w:tcPr>
            <w:tcW w:w="1418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2,21±0,11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1,13±0,057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1,19±0,061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701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1,27±0,064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1,35±0,068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902866">
        <w:trPr>
          <w:cantSplit/>
          <w:trHeight w:val="1631"/>
        </w:trPr>
        <w:tc>
          <w:tcPr>
            <w:tcW w:w="675" w:type="dxa"/>
            <w:vMerge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879E9" w:rsidRPr="00902866" w:rsidRDefault="00902866" w:rsidP="002D785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418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2,19±0,11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1,29±0,065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1,45±0,073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701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1,58±0,079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1,69±0,085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9E9" w:rsidRPr="00966737" w:rsidTr="003C5DDA">
        <w:trPr>
          <w:cantSplit/>
          <w:trHeight w:val="2024"/>
        </w:trPr>
        <w:tc>
          <w:tcPr>
            <w:tcW w:w="675" w:type="dxa"/>
            <w:vMerge w:val="restart"/>
            <w:textDirection w:val="btLr"/>
            <w:vAlign w:val="center"/>
          </w:tcPr>
          <w:p w:rsidR="00F879E9" w:rsidRPr="00966737" w:rsidRDefault="00F879E9" w:rsidP="002D785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Silness-Loe, бал.</w:t>
            </w:r>
          </w:p>
        </w:tc>
        <w:tc>
          <w:tcPr>
            <w:tcW w:w="1276" w:type="dxa"/>
            <w:textDirection w:val="btLr"/>
            <w:vAlign w:val="center"/>
          </w:tcPr>
          <w:p w:rsidR="00F879E9" w:rsidRPr="00966737" w:rsidRDefault="00F879E9" w:rsidP="00902866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</w:p>
        </w:tc>
        <w:tc>
          <w:tcPr>
            <w:tcW w:w="1418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2,35±0,12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1,19±0,061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1,24±0,062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701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1,33±0,067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1,41±0,071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542C40">
        <w:trPr>
          <w:cantSplit/>
          <w:trHeight w:val="1997"/>
        </w:trPr>
        <w:tc>
          <w:tcPr>
            <w:tcW w:w="675" w:type="dxa"/>
            <w:vMerge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879E9" w:rsidRPr="00773768" w:rsidRDefault="00773768" w:rsidP="0077376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418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2,32±0,12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1,35±0,068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1,51±0,076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701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1,63±0,082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1,75±0,088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</w:tc>
      </w:tr>
    </w:tbl>
    <w:p w:rsidR="003C5DDA" w:rsidRDefault="003C5DDA" w:rsidP="002D785C">
      <w:pPr>
        <w:tabs>
          <w:tab w:val="left" w:pos="0"/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79E9" w:rsidRPr="00966737" w:rsidRDefault="00454B66" w:rsidP="002D785C">
      <w:pPr>
        <w:tabs>
          <w:tab w:val="left" w:pos="0"/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: 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E3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ними даними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; р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0E3F0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E3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  <w:r w:rsidR="000E3F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79E9" w:rsidRPr="00966737" w:rsidRDefault="00F879E9" w:rsidP="00F879E9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E49" w:rsidRPr="00966737" w:rsidRDefault="00551CEB" w:rsidP="00C22E4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Аналізуючи дані таблиці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5.4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слід від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значити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 цифрові значення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дексів гігієни 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ГЛЛ, у яких запальні захворювання СОПР протікали 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ремісії, на початку дослідження складали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OHI-S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групі порівняння</w:t>
      </w:r>
      <w:r w:rsidR="000E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F03">
        <w:rPr>
          <w:rFonts w:ascii="Times New Roman" w:eastAsia="Times New Roman" w:hAnsi="Times New Roman" w:cs="Times New Roman"/>
          <w:sz w:val="28"/>
          <w:szCs w:val="28"/>
        </w:rPr>
        <w:lastRenderedPageBreak/>
        <w:t>1,61±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0,08 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ів, а у основній групі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 1,65</w:t>
      </w:r>
      <w:r w:rsidR="000E3F03">
        <w:rPr>
          <w:rFonts w:ascii="Times New Roman" w:eastAsia="Times New Roman" w:hAnsi="Times New Roman" w:cs="Times New Roman"/>
          <w:sz w:val="28"/>
          <w:szCs w:val="28"/>
        </w:rPr>
        <w:t>±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0,09 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0E3F03">
        <w:rPr>
          <w:rFonts w:ascii="Times New Roman" w:eastAsia="Times New Roman" w:hAnsi="Times New Roman" w:cs="Times New Roman"/>
          <w:sz w:val="28"/>
          <w:szCs w:val="28"/>
        </w:rPr>
        <w:t>, Silness-Loe – 1,77±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0,09 бала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1,78</w:t>
      </w:r>
      <w:r w:rsidR="000E3F03">
        <w:rPr>
          <w:rFonts w:ascii="Times New Roman" w:eastAsia="Times New Roman" w:hAnsi="Times New Roman" w:cs="Times New Roman"/>
          <w:sz w:val="28"/>
          <w:szCs w:val="28"/>
        </w:rPr>
        <w:t>±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0,09 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 відповідно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проведення професійної гігієни та аплікацій мукозального гелю в основній групі значення гігієнічного індексу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OHI</w:t>
      </w:r>
      <w:r w:rsidR="00F879E9" w:rsidRPr="00551CE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S</w:t>
      </w:r>
      <w:r w:rsidR="000E3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знизилося через 3 місяці спостережень на </w:t>
      </w:r>
      <w:r w:rsidR="00F879E9" w:rsidRPr="00551C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37,6%.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Звертає на себе увагу той факт, що </w:t>
      </w:r>
      <w:r w:rsidR="00F467D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групи порівняння цей показник також знизився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на 26,7%.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рік </w:t>
      </w:r>
      <w:r w:rsidR="008C174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кінці спостереження цифрові значення показника, що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вчається, </w:t>
      </w:r>
      <w:r w:rsidR="008C174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групі</w:t>
      </w:r>
      <w:r w:rsidR="00FF1B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незначно збільшувалися, але залишалися достові</w:t>
      </w:r>
      <w:r w:rsidR="00FF1B7E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FF1B7E">
        <w:rPr>
          <w:rFonts w:ascii="Times New Roman" w:eastAsia="Times New Roman" w:hAnsi="Times New Roman" w:cs="Times New Roman"/>
          <w:sz w:val="28"/>
          <w:szCs w:val="28"/>
          <w:lang w:val="uk-UA"/>
        </w:rPr>
        <w:t>но нижч</w:t>
      </w:r>
      <w:r w:rsidR="008C174D"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r w:rsidR="00FF1B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вихідні дані та дані групи порівняння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(p &lt; 0,05), </w:t>
      </w:r>
      <w:r w:rsidR="00FF1B7E">
        <w:rPr>
          <w:rFonts w:ascii="Times New Roman" w:eastAsia="Times New Roman" w:hAnsi="Times New Roman" w:cs="Times New Roman"/>
          <w:sz w:val="28"/>
          <w:szCs w:val="28"/>
          <w:lang w:val="uk-UA"/>
        </w:rPr>
        <w:t>в якій зн</w:t>
      </w:r>
      <w:r w:rsidR="00FF1B7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F1B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чення індексу склало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1,15</w:t>
      </w:r>
      <w:r w:rsidR="000E3F03">
        <w:rPr>
          <w:rFonts w:ascii="Times New Roman" w:eastAsia="Times New Roman" w:hAnsi="Times New Roman" w:cs="Times New Roman"/>
          <w:sz w:val="28"/>
          <w:szCs w:val="28"/>
        </w:rPr>
        <w:t>±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0,058 бала (табл. 5.4).</w:t>
      </w:r>
    </w:p>
    <w:p w:rsidR="005165CA" w:rsidRPr="005165CA" w:rsidRDefault="00FF1B7E" w:rsidP="005165CA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Подібна динаміка змін була встановлена при аналізі цифрових значень другого гігієнічного індексу</w:t>
      </w:r>
      <w:r w:rsidR="006E60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22E49" w:rsidRPr="00966737">
        <w:rPr>
          <w:rFonts w:ascii="Times New Roman" w:eastAsia="MS Mincho" w:hAnsi="Times New Roman" w:cs="Times New Roman"/>
          <w:sz w:val="28"/>
          <w:szCs w:val="28"/>
        </w:rPr>
        <w:t xml:space="preserve">Silness-Loe.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Так, після проведених лікувально-профілактичних заходів, що включали </w:t>
      </w:r>
      <w:r w:rsidR="006E6020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себе аплікації мукозального гелю та прийом пробіотичного препарату, значення індексу, що вивчається, достов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рно знизилися вже через місяць</w:t>
      </w:r>
      <w:r w:rsidR="00C22E49" w:rsidRPr="00966737">
        <w:rPr>
          <w:rFonts w:ascii="Times New Roman" w:eastAsia="MS Mincho" w:hAnsi="Times New Roman" w:cs="Times New Roman"/>
          <w:sz w:val="28"/>
          <w:szCs w:val="28"/>
        </w:rPr>
        <w:t xml:space="preserve"> (p &lt; 0,05),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 потім несуттєво підвищилися, але в кінці досліджень залишалися достовірно низькими порівняно як з вих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дними даними, так і </w:t>
      </w:r>
      <w:r w:rsidR="000E3F03">
        <w:rPr>
          <w:rFonts w:ascii="Times New Roman" w:eastAsia="MS Mincho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групою порівняння</w:t>
      </w:r>
      <w:r w:rsidR="00C22E49" w:rsidRPr="0096673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При цьому в групі порівняння була встановлена подібна динаміка зміни індексу гігієни, що вивчається</w:t>
      </w:r>
      <w:r w:rsidR="005165CA">
        <w:rPr>
          <w:rFonts w:ascii="Times New Roman" w:eastAsia="MS Mincho" w:hAnsi="Times New Roman" w:cs="Times New Roman"/>
          <w:sz w:val="28"/>
          <w:szCs w:val="28"/>
        </w:rPr>
        <w:t xml:space="preserve"> (табл. 5.4).</w:t>
      </w:r>
    </w:p>
    <w:p w:rsidR="005165CA" w:rsidRPr="005165CA" w:rsidRDefault="005165CA" w:rsidP="005165CA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Таким чином, проведені дослідження показали, що розроблені ЛПЗ сприяють значному покращенню гігієнічного стану порожнини рота в дітей з ГЛЛ у різній стадії розвитку основного захворювання</w:t>
      </w:r>
      <w:r w:rsidRPr="005165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Встановлені суттєві відмінності показників гігієнічних індексів між групами спостереження сві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чать про достатньо високий лікувальний ефект застосування аплікацій мук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зальних гелів</w:t>
      </w:r>
      <w:r w:rsidRPr="005165CA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протизапальних та  протимікробних ополіскувачів  та вітам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новмісних пробіотичних препаратів після проведення професійної гігієни у даного контингенту дітей</w:t>
      </w:r>
      <w:r w:rsidR="007D517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7C701E">
        <w:rPr>
          <w:rFonts w:ascii="Times New Roman" w:eastAsia="MS Mincho" w:hAnsi="Times New Roman" w:cs="Times New Roman"/>
          <w:sz w:val="28"/>
          <w:szCs w:val="28"/>
          <w:lang w:val="uk-UA"/>
        </w:rPr>
        <w:t>(</w:t>
      </w:r>
      <w:r w:rsidR="007D517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097E6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клінічні </w:t>
      </w:r>
      <w:r w:rsidR="007D517D">
        <w:rPr>
          <w:rFonts w:ascii="Times New Roman" w:eastAsia="MS Mincho" w:hAnsi="Times New Roman" w:cs="Times New Roman"/>
          <w:sz w:val="28"/>
          <w:szCs w:val="28"/>
          <w:lang w:val="uk-UA"/>
        </w:rPr>
        <w:t>приклади 3( рис.</w:t>
      </w:r>
      <w:r w:rsidR="007D517D" w:rsidRPr="007D51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517D">
        <w:rPr>
          <w:rFonts w:ascii="Times New Roman" w:eastAsia="Times New Roman" w:hAnsi="Times New Roman" w:cs="Times New Roman"/>
          <w:sz w:val="28"/>
          <w:szCs w:val="28"/>
          <w:lang w:val="uk-UA"/>
        </w:rPr>
        <w:t>5.5.</w:t>
      </w:r>
      <w:r w:rsidR="007D517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="007D51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5.6.) та </w:t>
      </w:r>
      <w:r w:rsidR="007D517D">
        <w:rPr>
          <w:rFonts w:ascii="Times New Roman" w:eastAsia="MS Mincho" w:hAnsi="Times New Roman" w:cs="Times New Roman"/>
          <w:sz w:val="28"/>
          <w:szCs w:val="28"/>
          <w:lang w:val="uk-UA"/>
        </w:rPr>
        <w:t>4( рис.</w:t>
      </w:r>
      <w:r w:rsidR="007C701E" w:rsidRPr="007C70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701E">
        <w:rPr>
          <w:rFonts w:ascii="Times New Roman" w:eastAsia="Times New Roman" w:hAnsi="Times New Roman" w:cs="Times New Roman"/>
          <w:sz w:val="28"/>
          <w:szCs w:val="28"/>
          <w:lang w:val="uk-UA"/>
        </w:rPr>
        <w:t>5.7.</w:t>
      </w:r>
      <w:r w:rsidR="007C701E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="007C701E" w:rsidRPr="007C70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701E">
        <w:rPr>
          <w:rFonts w:ascii="Times New Roman" w:eastAsia="Times New Roman" w:hAnsi="Times New Roman" w:cs="Times New Roman"/>
          <w:sz w:val="28"/>
          <w:szCs w:val="28"/>
          <w:lang w:val="uk-UA"/>
        </w:rPr>
        <w:t>5.8.</w:t>
      </w:r>
      <w:r w:rsidR="007D517D">
        <w:rPr>
          <w:rFonts w:ascii="Times New Roman" w:eastAsia="MS Mincho" w:hAnsi="Times New Roman" w:cs="Times New Roman"/>
          <w:sz w:val="28"/>
          <w:szCs w:val="28"/>
          <w:lang w:val="uk-UA"/>
        </w:rPr>
        <w:t>)</w:t>
      </w:r>
      <w:r w:rsidR="007C701E">
        <w:rPr>
          <w:rFonts w:ascii="Times New Roman" w:eastAsia="MS Mincho" w:hAnsi="Times New Roman" w:cs="Times New Roman"/>
          <w:sz w:val="28"/>
          <w:szCs w:val="28"/>
          <w:lang w:val="uk-UA"/>
        </w:rPr>
        <w:t>)</w:t>
      </w:r>
      <w:r w:rsidRPr="005165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</w:p>
    <w:p w:rsidR="005165CA" w:rsidRPr="005165CA" w:rsidRDefault="005165CA" w:rsidP="005165CA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5165CA" w:rsidRDefault="005165CA" w:rsidP="005165CA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5165CA" w:rsidRDefault="005165CA" w:rsidP="005165CA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5165CA" w:rsidRPr="005165CA" w:rsidRDefault="005165CA" w:rsidP="004B47C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F879E9" w:rsidRPr="00966737" w:rsidRDefault="00F879E9" w:rsidP="00F879E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>Таблиц</w:t>
      </w:r>
      <w:r w:rsidR="00FF1B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5.4</w:t>
      </w:r>
    </w:p>
    <w:p w:rsidR="00F879E9" w:rsidRDefault="00FF1B7E" w:rsidP="00FF1B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показників стану гігієни порожнини рота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 </w:t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ремісії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, М ± m</w:t>
      </w:r>
    </w:p>
    <w:p w:rsidR="003C5DDA" w:rsidRPr="003C5DDA" w:rsidRDefault="003C5DDA" w:rsidP="00FF1B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1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559"/>
        <w:gridCol w:w="1559"/>
        <w:gridCol w:w="1701"/>
        <w:gridCol w:w="1526"/>
      </w:tblGrid>
      <w:tr w:rsidR="00F879E9" w:rsidRPr="00966737" w:rsidTr="003C5DDA">
        <w:trPr>
          <w:cantSplit/>
          <w:trHeight w:val="1541"/>
          <w:jc w:val="center"/>
        </w:trPr>
        <w:tc>
          <w:tcPr>
            <w:tcW w:w="675" w:type="dxa"/>
            <w:textDirection w:val="btLr"/>
            <w:vAlign w:val="center"/>
          </w:tcPr>
          <w:p w:rsidR="00F879E9" w:rsidRPr="00A2352B" w:rsidRDefault="00A2352B" w:rsidP="00A2352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879E9"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ндекс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276" w:type="dxa"/>
            <w:vAlign w:val="center"/>
          </w:tcPr>
          <w:p w:rsidR="00F879E9" w:rsidRPr="00A2352B" w:rsidRDefault="00A2352B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418" w:type="dxa"/>
            <w:vAlign w:val="center"/>
          </w:tcPr>
          <w:p w:rsidR="002D785C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:rsidR="00F879E9" w:rsidRPr="00A2352B" w:rsidRDefault="00A2352B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A23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  <w:r w:rsidR="00A235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A23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3 м</w:t>
            </w:r>
            <w:r w:rsidR="00A235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701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A23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6 м</w:t>
            </w:r>
            <w:r w:rsidR="00A235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</w:p>
          <w:p w:rsidR="00F879E9" w:rsidRPr="00966737" w:rsidRDefault="00F879E9" w:rsidP="00A23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12 м</w:t>
            </w:r>
            <w:r w:rsidR="00A235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879E9" w:rsidRPr="00966737" w:rsidTr="003C5DDA">
        <w:trPr>
          <w:cantSplit/>
          <w:trHeight w:val="1847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F879E9" w:rsidRPr="00966737" w:rsidRDefault="00F879E9" w:rsidP="002D78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OHI-S, бал.</w:t>
            </w:r>
          </w:p>
        </w:tc>
        <w:tc>
          <w:tcPr>
            <w:tcW w:w="1276" w:type="dxa"/>
            <w:textDirection w:val="btLr"/>
            <w:vAlign w:val="center"/>
          </w:tcPr>
          <w:p w:rsidR="00F879E9" w:rsidRPr="00966737" w:rsidRDefault="00F879E9" w:rsidP="00A2352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</w:p>
        </w:tc>
        <w:tc>
          <w:tcPr>
            <w:tcW w:w="1418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1,65±0,09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0,98±0,051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1,03±0,052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701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1,09±0,055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1,15±0,058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3C5DDA">
        <w:trPr>
          <w:cantSplit/>
          <w:trHeight w:val="1675"/>
          <w:jc w:val="center"/>
        </w:trPr>
        <w:tc>
          <w:tcPr>
            <w:tcW w:w="675" w:type="dxa"/>
            <w:vMerge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879E9" w:rsidRPr="00A2352B" w:rsidRDefault="00A2352B" w:rsidP="002D785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418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1,61±0,08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1,05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±0,053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1,18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±0,059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701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1,26</w:t>
            </w: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±0,063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1,38±0,069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</w:tc>
      </w:tr>
      <w:tr w:rsidR="00F879E9" w:rsidRPr="00966737" w:rsidTr="003C5DDA">
        <w:trPr>
          <w:cantSplit/>
          <w:trHeight w:val="1795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F879E9" w:rsidRPr="00966737" w:rsidRDefault="00F879E9" w:rsidP="002D785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Silness-Loe, бал.</w:t>
            </w:r>
          </w:p>
        </w:tc>
        <w:tc>
          <w:tcPr>
            <w:tcW w:w="1276" w:type="dxa"/>
            <w:textDirection w:val="btLr"/>
            <w:vAlign w:val="center"/>
          </w:tcPr>
          <w:p w:rsidR="00F879E9" w:rsidRPr="00966737" w:rsidRDefault="00F879E9" w:rsidP="00A2352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</w:p>
        </w:tc>
        <w:tc>
          <w:tcPr>
            <w:tcW w:w="1418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1,78±0,09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1,04±0,052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1,11±0,056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701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1,17±0,059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1,26±0,063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3C5DDA">
        <w:trPr>
          <w:cantSplit/>
          <w:trHeight w:val="1833"/>
          <w:jc w:val="center"/>
        </w:trPr>
        <w:tc>
          <w:tcPr>
            <w:tcW w:w="675" w:type="dxa"/>
            <w:vMerge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879E9" w:rsidRPr="00A2352B" w:rsidRDefault="00A2352B" w:rsidP="00A2352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418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1,77±0,09</w:t>
            </w: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1,18±0,059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1,33±0,067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1,45±0,073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 w:cs="Times New Roman"/>
                <w:sz w:val="28"/>
                <w:szCs w:val="28"/>
              </w:rPr>
              <w:t>1,59±0,081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2D78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231E" w:rsidRDefault="0048231E" w:rsidP="00C22E49">
      <w:pPr>
        <w:tabs>
          <w:tab w:val="left" w:pos="0"/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79E9" w:rsidRDefault="00A2352B" w:rsidP="00C22E49">
      <w:pPr>
        <w:tabs>
          <w:tab w:val="left" w:pos="0"/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: 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E3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ними даними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; р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0E3F03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E3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  <w:r w:rsidR="000E3F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65CA" w:rsidRDefault="005165CA" w:rsidP="00C22E49">
      <w:pPr>
        <w:tabs>
          <w:tab w:val="left" w:pos="0"/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65CA" w:rsidRDefault="005165CA" w:rsidP="00C22E49">
      <w:pPr>
        <w:tabs>
          <w:tab w:val="left" w:pos="0"/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47C4" w:rsidRPr="0048231E" w:rsidRDefault="004B47C4" w:rsidP="00542C40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2E49" w:rsidRPr="00353C4F" w:rsidRDefault="00353C4F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ПРИКЛАД  3</w:t>
      </w:r>
    </w:p>
    <w:p w:rsidR="00353C4F" w:rsidRPr="00353C4F" w:rsidRDefault="00E1358F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353C4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62450" cy="2296027"/>
            <wp:effectExtent l="19050" t="0" r="0" b="0"/>
            <wp:docPr id="9" name="Рисунок 9" descr="D:\Documents\Desktop\O_SE2jFYy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Desktop\O_SE2jFYy-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54" cy="230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4F" w:rsidRPr="00353C4F" w:rsidRDefault="00353C4F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3C4F" w:rsidRDefault="00E1358F" w:rsidP="00353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Рис. 5.5. </w:t>
      </w:r>
      <w:r w:rsidR="00353C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Пацієнтка  </w:t>
      </w:r>
      <w:r w:rsidR="007C61CA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353C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62882">
        <w:rPr>
          <w:rFonts w:ascii="Times New Roman" w:eastAsia="Times New Roman" w:hAnsi="Times New Roman" w:cs="Times New Roman"/>
          <w:sz w:val="28"/>
          <w:szCs w:val="28"/>
          <w:lang w:val="uk-UA"/>
        </w:rPr>
        <w:t>, 15 років.</w:t>
      </w:r>
      <w:r w:rsidR="00353C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Звернулася зі скаргами </w:t>
      </w:r>
      <w:r w:rsidR="00A62882">
        <w:rPr>
          <w:rFonts w:ascii="Times New Roman" w:eastAsia="Times New Roman" w:hAnsi="Times New Roman" w:cs="Times New Roman"/>
          <w:sz w:val="28"/>
          <w:szCs w:val="28"/>
          <w:lang w:val="uk-UA"/>
        </w:rPr>
        <w:t>на розростання ясен, свербіж, кровоточивість та болісність під час приймання їжі.</w:t>
      </w:r>
    </w:p>
    <w:p w:rsidR="00353C4F" w:rsidRPr="00680F59" w:rsidRDefault="00353C4F" w:rsidP="00353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Об’єктивно:</w:t>
      </w:r>
      <w:r w:rsidRPr="00A33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0F59">
        <w:rPr>
          <w:rFonts w:ascii="Times New Roman" w:eastAsia="Times New Roman" w:hAnsi="Times New Roman" w:cs="Times New Roman"/>
          <w:sz w:val="28"/>
          <w:szCs w:val="28"/>
          <w:lang w:val="uk-UA"/>
        </w:rPr>
        <w:t>на вестибулярній поверхні фронтальної ділянки нижньої щелепи визначається гіперемія та набряк ясен, болісність при пальпації, кр</w:t>
      </w:r>
      <w:r w:rsidR="00680F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80F59">
        <w:rPr>
          <w:rFonts w:ascii="Times New Roman" w:eastAsia="Times New Roman" w:hAnsi="Times New Roman" w:cs="Times New Roman"/>
          <w:sz w:val="28"/>
          <w:szCs w:val="28"/>
          <w:lang w:val="uk-UA"/>
        </w:rPr>
        <w:t>воточивість. Ясеневі сосочки збільшені в розмірі в межах більше 2/3 висоти коронки зубів, зубоепітеліальне з</w:t>
      </w:r>
      <w:r w:rsidR="00680F59" w:rsidRPr="00680F59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680F59">
        <w:rPr>
          <w:rFonts w:ascii="Times New Roman" w:eastAsia="Times New Roman" w:hAnsi="Times New Roman" w:cs="Times New Roman"/>
          <w:sz w:val="28"/>
          <w:szCs w:val="28"/>
          <w:lang w:val="uk-UA"/>
        </w:rPr>
        <w:t>єднання не порушено. Гіперплазія ясен з</w:t>
      </w:r>
      <w:r w:rsidR="00680F59" w:rsidRPr="00E1358F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680F59">
        <w:rPr>
          <w:rFonts w:ascii="Times New Roman" w:eastAsia="Times New Roman" w:hAnsi="Times New Roman" w:cs="Times New Roman"/>
          <w:sz w:val="28"/>
          <w:szCs w:val="28"/>
          <w:lang w:val="uk-UA"/>
        </w:rPr>
        <w:t>явилася після проведеного курсу хіміотерапії  ГЛЛ.</w:t>
      </w:r>
    </w:p>
    <w:p w:rsidR="00353C4F" w:rsidRDefault="00353C4F" w:rsidP="00353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</w:t>
      </w:r>
      <w:r w:rsid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агноз: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61CA">
        <w:rPr>
          <w:rFonts w:ascii="Times New Roman" w:eastAsia="Times New Roman" w:hAnsi="Times New Roman" w:cs="Times New Roman"/>
          <w:sz w:val="28"/>
          <w:szCs w:val="28"/>
          <w:lang w:val="uk-UA"/>
        </w:rPr>
        <w:t>Хронічний гіпертрофічний гінгі</w:t>
      </w:r>
      <w:r w:rsidR="00256AFD">
        <w:rPr>
          <w:rFonts w:ascii="Times New Roman" w:eastAsia="Times New Roman" w:hAnsi="Times New Roman" w:cs="Times New Roman"/>
          <w:sz w:val="28"/>
          <w:szCs w:val="28"/>
          <w:lang w:val="uk-UA"/>
        </w:rPr>
        <w:t>віт</w:t>
      </w:r>
      <w:r w:rsidR="00680F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гранулююча форма)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тлі  ГЛЛ  у  </w:t>
      </w:r>
      <w:r w:rsidR="00256AFD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першому гострому періоді</w:t>
      </w:r>
      <w:r w:rsidR="00E135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C714B" w:rsidRDefault="00EC714B" w:rsidP="00E135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58F" w:rsidRPr="00353C4F" w:rsidRDefault="00E1358F" w:rsidP="00E135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3C4F" w:rsidRPr="00EC714B" w:rsidRDefault="00E1358F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C71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71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4350" cy="2164492"/>
            <wp:effectExtent l="19050" t="0" r="0" b="0"/>
            <wp:docPr id="10" name="Рисунок 10" descr="D:\Documents\Desktop\rwcG6Gn0B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Desktop\rwcG6Gn0B_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10" cy="216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1E" w:rsidRPr="00E1358F" w:rsidRDefault="00E1358F" w:rsidP="00E135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Рис. 5.6. Пацієнтка  Н., 15 років, після  проведеного курсу лікування  розробленим  ЛПК.</w:t>
      </w:r>
    </w:p>
    <w:p w:rsidR="00EC714B" w:rsidRDefault="00EC714B" w:rsidP="00EC71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ПРИКЛАД  4</w:t>
      </w:r>
    </w:p>
    <w:p w:rsidR="00EC714B" w:rsidRPr="00353C4F" w:rsidRDefault="00EC714B" w:rsidP="00EC71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E135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33575" cy="2503861"/>
            <wp:effectExtent l="19050" t="0" r="9525" b="0"/>
            <wp:docPr id="12" name="Рисунок 12" descr="D:\Documents\Desktop\gHLvsOH5f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Desktop\gHLvsOH5fHU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79" cy="250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4F" w:rsidRPr="00EC714B" w:rsidRDefault="00353C4F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714B" w:rsidRPr="0008274B" w:rsidRDefault="00E1358F" w:rsidP="00EC71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Рис. 5.7. </w:t>
      </w:r>
      <w:r w:rsidR="00EC714B">
        <w:rPr>
          <w:rFonts w:ascii="Times New Roman" w:eastAsia="Times New Roman" w:hAnsi="Times New Roman" w:cs="Times New Roman"/>
          <w:sz w:val="28"/>
          <w:szCs w:val="28"/>
          <w:lang w:val="uk-UA"/>
        </w:rPr>
        <w:t>Пацієнт  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8 років. </w:t>
      </w:r>
      <w:r w:rsidR="00EC71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Звернувся зі скаргами </w:t>
      </w:r>
      <w:r w:rsidR="00EC714B" w:rsidRPr="00E1358F">
        <w:rPr>
          <w:rFonts w:ascii="Times New Roman" w:eastAsia="Times New Roman" w:hAnsi="Times New Roman" w:cs="Times New Roman"/>
          <w:sz w:val="28"/>
          <w:szCs w:val="28"/>
          <w:lang w:val="uk-UA"/>
        </w:rPr>
        <w:t>на наявність бол</w:t>
      </w:r>
      <w:r w:rsidR="00EC714B" w:rsidRPr="00E1358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EC714B" w:rsidRPr="00E1358F">
        <w:rPr>
          <w:rFonts w:ascii="Times New Roman" w:eastAsia="Times New Roman" w:hAnsi="Times New Roman" w:cs="Times New Roman"/>
          <w:sz w:val="28"/>
          <w:szCs w:val="28"/>
          <w:lang w:val="uk-UA"/>
        </w:rPr>
        <w:t>чих елементів висипання на язиці,неможливість при</w:t>
      </w:r>
      <w:r w:rsidR="0008274B">
        <w:rPr>
          <w:rFonts w:ascii="Times New Roman" w:eastAsia="Times New Roman" w:hAnsi="Times New Roman" w:cs="Times New Roman"/>
          <w:sz w:val="28"/>
          <w:szCs w:val="28"/>
          <w:lang w:val="uk-UA"/>
        </w:rPr>
        <w:t>ймання їжі, підвищення температури тіла до 37,5</w:t>
      </w:r>
      <w:r w:rsidR="0008274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="0008274B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:rsidR="00EC714B" w:rsidRDefault="00EC714B" w:rsidP="00EC71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Об’єктивно:</w:t>
      </w:r>
      <w:r w:rsidRPr="00A33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274B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08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гіперемованій слизовій оболонці</w:t>
      </w:r>
      <w:r w:rsidRPr="0008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боков</w:t>
      </w:r>
      <w:r w:rsidR="0008274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08274B">
        <w:rPr>
          <w:rFonts w:ascii="Times New Roman" w:eastAsia="Times New Roman" w:hAnsi="Times New Roman" w:cs="Times New Roman"/>
          <w:sz w:val="28"/>
          <w:szCs w:val="28"/>
          <w:lang w:val="uk-UA"/>
        </w:rPr>
        <w:t>й поверх</w:t>
      </w:r>
      <w:r w:rsidR="0008274B">
        <w:rPr>
          <w:rFonts w:ascii="Times New Roman" w:eastAsia="Times New Roman" w:hAnsi="Times New Roman" w:cs="Times New Roman"/>
          <w:sz w:val="28"/>
          <w:szCs w:val="28"/>
          <w:lang w:val="uk-UA"/>
        </w:rPr>
        <w:t>онь</w:t>
      </w:r>
      <w:r w:rsidRPr="0008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кінчику язика спостерігаються </w:t>
      </w:r>
      <w:r w:rsidR="0008274B">
        <w:rPr>
          <w:rFonts w:ascii="Times New Roman" w:eastAsia="Times New Roman" w:hAnsi="Times New Roman" w:cs="Times New Roman"/>
          <w:sz w:val="28"/>
          <w:szCs w:val="28"/>
          <w:lang w:val="uk-UA"/>
        </w:rPr>
        <w:t>згруповані пухирці</w:t>
      </w:r>
      <w:r w:rsidRPr="0008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розміром </w:t>
      </w:r>
      <w:r w:rsidR="0008274B">
        <w:rPr>
          <w:rFonts w:ascii="Times New Roman" w:eastAsia="Times New Roman" w:hAnsi="Times New Roman" w:cs="Times New Roman"/>
          <w:sz w:val="28"/>
          <w:szCs w:val="28"/>
          <w:lang w:val="uk-UA"/>
        </w:rPr>
        <w:t>1-3мм</w:t>
      </w:r>
      <w:r w:rsidRPr="0008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8274B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</w:t>
      </w:r>
      <w:r w:rsidR="0008274B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08274B">
        <w:rPr>
          <w:rFonts w:ascii="Times New Roman" w:eastAsia="Times New Roman" w:hAnsi="Times New Roman" w:cs="Times New Roman"/>
          <w:sz w:val="28"/>
          <w:szCs w:val="28"/>
          <w:lang w:val="uk-UA"/>
        </w:rPr>
        <w:t>ні серозним вмістом</w:t>
      </w:r>
      <w:r w:rsidR="0074568D">
        <w:rPr>
          <w:rFonts w:ascii="Times New Roman" w:eastAsia="Times New Roman" w:hAnsi="Times New Roman" w:cs="Times New Roman"/>
          <w:sz w:val="28"/>
          <w:szCs w:val="28"/>
          <w:lang w:val="uk-UA"/>
        </w:rPr>
        <w:t>. Пухирці з</w:t>
      </w:r>
      <w:r w:rsidR="0074568D" w:rsidRPr="00E1358F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74568D">
        <w:rPr>
          <w:rFonts w:ascii="Times New Roman" w:eastAsia="Times New Roman" w:hAnsi="Times New Roman" w:cs="Times New Roman"/>
          <w:sz w:val="28"/>
          <w:szCs w:val="28"/>
          <w:lang w:val="uk-UA"/>
        </w:rPr>
        <w:t>явилися день тому. Дитина знаходиться на етапі протирецидивного лікування ГЛЛ.</w:t>
      </w:r>
    </w:p>
    <w:p w:rsidR="00EC714B" w:rsidRDefault="00EC714B" w:rsidP="00EC71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</w:t>
      </w:r>
      <w:r w:rsid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097E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агноз: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Гострий герпетичний стоматит на тлі  ГЛЛ  у  періоді ремісії</w:t>
      </w:r>
      <w:r w:rsidR="007456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53C4F" w:rsidRDefault="00353C4F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353C4F" w:rsidRDefault="0075306C" w:rsidP="007530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E135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75306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981846" cy="2514600"/>
            <wp:effectExtent l="19050" t="0" r="0" b="0"/>
            <wp:docPr id="1" name="Рисунок 13" descr="D:\Documents\Desktop\EkW9Cg4u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\Desktop\EkW9Cg4uEt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68" cy="252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4F" w:rsidRPr="00E1358F" w:rsidRDefault="00E1358F" w:rsidP="00E135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Рис. 5.8. Пацієнт  Д., 8 років,  після  проведеного курсу лікування 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робленим  ЛПК.</w:t>
      </w:r>
    </w:p>
    <w:p w:rsidR="002740F6" w:rsidRPr="002740F6" w:rsidRDefault="00F879E9" w:rsidP="002740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A7A0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5.3. </w:t>
      </w:r>
      <w:r w:rsidR="00BF499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F0A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Динаміка біохімічних</w:t>
      </w:r>
      <w:r w:rsidR="00BF499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F0A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показників ротової рідини під впливом розроблених методів лікування</w:t>
      </w:r>
      <w:r w:rsidRPr="007A7A0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22E49" w:rsidRPr="00966737" w:rsidRDefault="00F879E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5.3.1. </w:t>
      </w:r>
      <w:r w:rsidR="00AF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Динаміка маркер</w:t>
      </w:r>
      <w:r w:rsidR="00BF499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="00AF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запалення </w:t>
      </w:r>
      <w:r w:rsidR="00BF499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 </w:t>
      </w:r>
      <w:r w:rsidR="00AF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ротовій рідині</w:t>
      </w:r>
      <w:r w:rsidR="00C22E49" w:rsidRPr="009667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22E49" w:rsidRPr="00966737" w:rsidRDefault="00AF0AAC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ротовій рідині обстежених дітей із запаленням ясен та виразково-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ним ураженням СОПР нами було встановлено інтенсифікацію ПОЛ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яку реєстрували за підвищеними цифровими даними рівня малонового діал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дегіду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основного маркер</w:t>
      </w:r>
      <w:r w:rsidR="0079774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запалення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Цей показник на початку лікування був збільшеним у дітей з ГЛЛ </w:t>
      </w:r>
      <w:r w:rsidR="0040518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 гострому періоді та в періоді рец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диву </w:t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2,6 раз</w:t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2,8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раз</w:t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обох досліджуваних групах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(табл. 1,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Характер змін вмісту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МДА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ротовій рідині </w:t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сіх дітей був однаковим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9E9" w:rsidRDefault="00AF0AAC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C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</w:t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A3C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групі через місяць після проведеного лікування, шл</w:t>
      </w:r>
      <w:r w:rsidRPr="001A3CE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1A3CEB">
        <w:rPr>
          <w:rFonts w:ascii="Times New Roman" w:eastAsia="Times New Roman" w:hAnsi="Times New Roman" w:cs="Times New Roman"/>
          <w:sz w:val="28"/>
          <w:szCs w:val="28"/>
          <w:lang w:val="uk-UA"/>
        </w:rPr>
        <w:t>хом застосування двох видів аплікацій з мукозальними гелями, що містять кверцетин та поліфеноли, антисептика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четверти</w:t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ними бензофенантр</w:t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вими алкалоїдами сангвінарину та хелеритрину </w:t>
      </w:r>
      <w:r w:rsidR="00BF499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поєднанні з пробіотичними та протигрибковими препаратами, рівень </w:t>
      </w:r>
      <w:r w:rsidR="00F879E9" w:rsidRPr="00FD4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МДА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знижувався </w:t>
      </w:r>
      <w:r w:rsidR="00F879E9" w:rsidRPr="00FD4237">
        <w:rPr>
          <w:rFonts w:ascii="Times New Roman" w:eastAsia="Times New Roman" w:hAnsi="Times New Roman" w:cs="Times New Roman"/>
          <w:sz w:val="28"/>
          <w:szCs w:val="28"/>
          <w:lang w:val="uk-UA"/>
        </w:rPr>
        <w:t>в 2 раз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и, а пра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тично до вихідних значень у здорових дітей</w:t>
      </w:r>
      <w:r w:rsidR="00F879E9" w:rsidRPr="00FD4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879E9" w:rsidRPr="00FD4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2,3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рази він знижувався вже через 3 місяці спостережень, його цифрові значення складали </w:t>
      </w:r>
      <w:r w:rsidR="001A3CEB">
        <w:rPr>
          <w:rFonts w:ascii="Times New Roman" w:eastAsia="Times New Roman" w:hAnsi="Times New Roman" w:cs="Times New Roman"/>
          <w:sz w:val="28"/>
          <w:szCs w:val="28"/>
          <w:lang w:val="uk-UA"/>
        </w:rPr>
        <w:t>4,57±</w:t>
      </w:r>
      <w:r w:rsidR="00F879E9" w:rsidRPr="00FD4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0,27 нмоль/л.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зниження </w:t>
      </w:r>
      <w:r w:rsidR="00FD4237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показника, що вивчався, залежало від стадії та тривалості перебігу основного захворювання</w:t>
      </w:r>
      <w:r w:rsidR="00F879E9" w:rsidRPr="00FD4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350267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FD42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879E9" w:rsidRPr="00FD4237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FE270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879E9" w:rsidRPr="00FD4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. </w:t>
      </w:r>
    </w:p>
    <w:p w:rsidR="00412E25" w:rsidRDefault="00412E25" w:rsidP="00412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6 місяців цифрові значення </w:t>
      </w:r>
      <w:r w:rsidRPr="00412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МДА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збільшувалися до значень </w:t>
      </w:r>
      <w:r w:rsidRPr="00412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5,42±0,32 нмоль/л,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в кінці досліджень складали</w:t>
      </w:r>
      <w:r w:rsidRPr="00412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6,59±0,37 нмоль/л.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Однак отримані дані достовірно відрізнялися як від вихідних даних, так і від даних у групі порівняння</w:t>
      </w:r>
      <w:r w:rsidRPr="00412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 &lt; 0,05) </w:t>
      </w:r>
      <w:r w:rsidR="004051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 стоматологічні захворювання яких 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тікали в перший гострий період та період рецидиву, на відміну від інших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цієнтів, де даний вплив був відсутній, та рівень МДА достовірно відрізнявся від значень у групі порівняння</w:t>
      </w:r>
      <w:r w:rsidRPr="00412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12E25" w:rsidRPr="00412E25" w:rsidRDefault="00412E25" w:rsidP="00412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групах порівняння вміст </w:t>
      </w:r>
      <w:r w:rsidRPr="00412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МДА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ротовій рідині всіх дітей також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товірно знижувався через місяць після лікування та зберігався на такому 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 до 3 місяців спостережень</w:t>
      </w:r>
      <w:r w:rsidRPr="00412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 &lt; 0,05), що можна пов’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язати з протизапал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ною дією лізоцимвмісного зубного еліксиру, але дані в кінці спостережень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практично не відрізнялися від вихідних на початку дослідження</w:t>
      </w:r>
      <w:r w:rsidRPr="00412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10,51±0,53 нмоль/л.</w:t>
      </w:r>
    </w:p>
    <w:p w:rsidR="00C81D8E" w:rsidRPr="00FD4237" w:rsidRDefault="00C81D8E" w:rsidP="00412E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79E9" w:rsidRPr="004A4E0A" w:rsidRDefault="004A4E0A" w:rsidP="004A4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4E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1700" cy="3143250"/>
            <wp:effectExtent l="19050" t="0" r="19050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79E9" w:rsidRDefault="006E1CBB" w:rsidP="00EB0F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181F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FE270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1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Динаміка змін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МДА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81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 </w:t>
      </w:r>
      <w:r w:rsidR="00FC2B3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81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перший гострий період та період рецидиву</w:t>
      </w:r>
    </w:p>
    <w:p w:rsidR="006E1CBB" w:rsidRPr="00966737" w:rsidRDefault="006E1CBB" w:rsidP="006E1C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9E9" w:rsidRPr="00F73951" w:rsidRDefault="003D1462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Разом з тим, на відміну від даних, які були встановлені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женнями СОПР на </w:t>
      </w:r>
      <w:r w:rsidR="00405186">
        <w:rPr>
          <w:rFonts w:ascii="Times New Roman" w:eastAsia="Times New Roman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ГЛЛ у першому гострому періоді та періоді рециди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r w:rsidR="00FC2B3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групі, так і в групі порівняння, 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цифрові значення МДА </w:t>
      </w:r>
      <w:r w:rsidR="004051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 </w:t>
      </w:r>
      <w:r w:rsidR="0040518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ремісії відрізнялися навіть на початку дослідження та складали </w:t>
      </w:r>
      <w:r w:rsidR="001A3CEB">
        <w:rPr>
          <w:rFonts w:ascii="Times New Roman" w:eastAsia="Times New Roman" w:hAnsi="Times New Roman" w:cs="Times New Roman"/>
          <w:sz w:val="28"/>
          <w:szCs w:val="28"/>
        </w:rPr>
        <w:t>9,95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±0,51 нмоль/л –  9,98±0,52 нмоль/л (</w:t>
      </w:r>
      <w:r w:rsidR="007410C0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 5.</w:t>
      </w:r>
      <w:r w:rsidR="00FE2704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 після пров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>дення лікувально-профілактичних заходів вже через місяць спостережень р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вень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МДА 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основній групі знизився у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2,3 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рази та досяг нормальних значень у здорових дітей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– 4,04±0,26 нмоль/л 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>через 3 місяці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Викликають інтерес отримані дані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групі порівняння, які використовували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лише лізоцим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ий ополіскувач, а через 3 місяці значення показника, що вивчається, складало </w:t>
      </w:r>
      <w:r w:rsidR="001A3CEB">
        <w:rPr>
          <w:rFonts w:ascii="Times New Roman" w:eastAsia="Times New Roman" w:hAnsi="Times New Roman" w:cs="Times New Roman"/>
          <w:sz w:val="28"/>
          <w:szCs w:val="28"/>
          <w:lang w:val="uk-UA"/>
        </w:rPr>
        <w:t>6,71</w:t>
      </w:r>
      <w:r w:rsidR="00F879E9" w:rsidRP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±0,34 нмоль/л, 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свідчить про позитивну динаміку. Однак вже через 6 місяців рівень </w:t>
      </w:r>
      <w:r w:rsidR="00F879E9" w:rsidRP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МДА 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>різко збільшувався та до кінця дослідження достовірно не відрізнявся від своїх первинних значень</w:t>
      </w:r>
      <w:r w:rsidR="00F879E9" w:rsidRP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p</w:t>
      </w:r>
      <w:r w:rsidR="00F879E9" w:rsidRPr="00F73951">
        <w:rPr>
          <w:rFonts w:ascii="Times New Roman" w:eastAsia="Times New Roman" w:hAnsi="Times New Roman" w:cs="Times New Roman"/>
          <w:sz w:val="28"/>
          <w:szCs w:val="28"/>
          <w:lang w:val="uk-UA"/>
        </w:rPr>
        <w:t>&gt; 0,05).</w:t>
      </w:r>
    </w:p>
    <w:p w:rsidR="00F879E9" w:rsidRDefault="00F73951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При цьому в основній групі дітей з ГЛЛ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ремісії ознаки зап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лення СОПР за даними рівня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МДА,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складали через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місяців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5,12±0,29 нмоль/л,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значно знижувалися. Отримані цифрові значення показника, що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вчається, в кінці дослідження були в </w:t>
      </w:r>
      <w:r w:rsidR="00F879E9" w:rsidRP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1,7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раз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нижче порівняно з вихідними даними, що свідчить про позитивний вплив розробленого ЛПК, до складу якого входили мукозальний гель та пробіотичний препарат на фоні викори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тання лізоцим</w:t>
      </w:r>
      <w:r w:rsidR="001A3CE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 ополіскувача</w:t>
      </w:r>
      <w:r w:rsidR="00F879E9" w:rsidRP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410C0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F879E9" w:rsidRPr="00F73951">
        <w:rPr>
          <w:rFonts w:ascii="Times New Roman" w:eastAsia="Times New Roman" w:hAnsi="Times New Roman" w:cs="Times New Roman"/>
          <w:sz w:val="28"/>
          <w:szCs w:val="28"/>
          <w:lang w:val="uk-UA"/>
        </w:rPr>
        <w:t>. 5.</w:t>
      </w:r>
      <w:r w:rsidR="00FE2704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F879E9" w:rsidRP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7410C0" w:rsidRPr="002C2F7F" w:rsidRDefault="002C2F7F" w:rsidP="002C2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2F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3200400"/>
            <wp:effectExtent l="19050" t="0" r="19050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879E9" w:rsidRDefault="009631BD" w:rsidP="00963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4E1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410C0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FE2704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3C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Динаміка змін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МДА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7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 у період ремісії</w:t>
      </w:r>
    </w:p>
    <w:p w:rsidR="007410C0" w:rsidRPr="00966737" w:rsidRDefault="007410C0" w:rsidP="001A3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9E9" w:rsidRPr="00966737" w:rsidRDefault="00F73951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проведені дослідження свідчать про позитивний вплив розроблених методів лікування на один з маркерів запалення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(МДА)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рот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вій рідині дітей з ГХКГ та виразково-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стоматитом, які протікали на </w:t>
      </w:r>
      <w:r w:rsidR="00405186">
        <w:rPr>
          <w:rFonts w:ascii="Times New Roman" w:eastAsia="Times New Roman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ГЛЛ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різні періоди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Однак, достовірне зниження рівня </w:t>
      </w:r>
      <w:r w:rsidR="00F879E9" w:rsidRPr="008660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МДА,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 у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рівнянні з його вихідними даними, так і з групою порівняння, було відзнач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групі пацієнтів під дією комбінації 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лізоцим</w:t>
      </w:r>
      <w:r w:rsidR="001A3CE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ого ополіск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вача, аплікацій кверцетин</w:t>
      </w:r>
      <w:r w:rsidR="001A3CE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ого мукозального гелю та гелю з поліфен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лами, а також застосування антисептика з алкалоїдами сангвінарина та хел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ритрина у поєднанні з пробіотичними та протигрибковими препаратами</w:t>
      </w:r>
      <w:r w:rsidR="00F879E9" w:rsidRP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Встановлена позитивна динаміка спостерігалася протягом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сього періоду д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>слідження та залежала від період</w:t>
      </w:r>
      <w:r w:rsidR="00FC2B3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660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перебігу ГЛЛ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9E9" w:rsidRPr="00966737" w:rsidRDefault="00F879E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5.3.2. </w:t>
      </w:r>
      <w:r w:rsidR="0086600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Стан функціональної активності антиоксидантної системи п</w:t>
      </w:r>
      <w:r w:rsidR="0086600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</w:t>
      </w:r>
      <w:r w:rsidR="0086600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рожнини рота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879E9" w:rsidRPr="00B3038F" w:rsidRDefault="0086600E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Відомо, що антиоксиданти виступають у якості протекторів та інгібіт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 патологічних реакцій, що сприя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>гальмуванню запальних процесів у рі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тканинах живого організму, </w:t>
      </w:r>
      <w:r w:rsidR="004051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 числі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тканинах слизової оболонки порожнини рота. При цьому </w:t>
      </w:r>
      <w:r w:rsidR="006F7E0A">
        <w:rPr>
          <w:rFonts w:ascii="Times New Roman" w:eastAsia="Times New Roman" w:hAnsi="Times New Roman" w:cs="Times New Roman"/>
          <w:sz w:val="28"/>
          <w:szCs w:val="28"/>
          <w:lang w:val="uk-UA"/>
        </w:rPr>
        <w:t>фізіологіч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>на антиоксидантна система предста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ляє собою сукупну ієрархію захисних механізмів клітин, а зміна гомеостазу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порожнині, що веде до розвитку патологічних станів, виражається у зниженні її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функціональної активності. Тому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обстежуваних дітей з ГХКГ та виразково-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стоматитом, які протікали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різні періоди розвитку ГЛЛ, проводили дослідження активності одного з найва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ливіших актиоксидантних ферментів </w:t>
      </w:r>
      <w:r w:rsidR="00F879E9" w:rsidRP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каталази, результати якого наведені у таблицях </w:t>
      </w:r>
      <w:r w:rsidR="00F879E9" w:rsidRPr="00B3038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A3CE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879E9" w:rsidRP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 (</w:t>
      </w:r>
      <w:r w:rsidR="00B3038F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 w:rsidR="00F879E9" w:rsidRPr="00B3038F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879E9" w:rsidRPr="00966737" w:rsidRDefault="00B3038F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отриманих даних свідчить про достатньо низький вихідний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вень активності каталази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сіх обстежених дітей </w:t>
      </w:r>
      <w:r w:rsidR="00F879E9" w:rsidRPr="00B3038F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1A3C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0,11</w:t>
      </w:r>
      <w:r w:rsidR="00F879E9" w:rsidRPr="00B3038F">
        <w:rPr>
          <w:rFonts w:ascii="Times New Roman" w:eastAsia="Times New Roman" w:hAnsi="Times New Roman" w:cs="Times New Roman"/>
          <w:sz w:val="28"/>
          <w:szCs w:val="28"/>
          <w:lang w:val="uk-UA"/>
        </w:rPr>
        <w:t>±0,006 – 0,12±0,</w:t>
      </w:r>
      <w:r w:rsidR="00F879E9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006 м</w:t>
      </w:r>
      <w:r w:rsidR="00FC223A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F879E9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кат/л </w:t>
      </w:r>
      <w:r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дітей у перший гострий період та </w:t>
      </w:r>
      <w:r w:rsidR="004051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рецидиву до </w:t>
      </w:r>
      <w:r w:rsidR="001A3CEB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0,16</w:t>
      </w:r>
      <w:r w:rsidR="00F879E9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±</w:t>
      </w:r>
      <w:r w:rsidR="001A3CEB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0,008 – 0,17</w:t>
      </w:r>
      <w:r w:rsidR="00F879E9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±0,009 м</w:t>
      </w:r>
      <w:r w:rsidR="00FC223A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F879E9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кат/л </w:t>
      </w:r>
      <w:r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ремісії</w:t>
      </w:r>
      <w:r w:rsidR="00F879E9" w:rsidRP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не зал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жав від віку, а лише від періоду розвитку основного захворювання</w:t>
      </w:r>
      <w:r w:rsidR="00F879E9" w:rsidRP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ГЛЛ</w:t>
      </w:r>
      <w:r w:rsidR="00F879E9" w:rsidRPr="00B30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 пов</w:t>
      </w:r>
      <w:r w:rsidRPr="00B3038F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язане, на нашу думку, з неспроможністю механізмів антиоксидантного захисту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порожнині рота на </w:t>
      </w:r>
      <w:r w:rsidR="00405186">
        <w:rPr>
          <w:rFonts w:ascii="Times New Roman" w:eastAsia="Times New Roman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дії загальних факторів ризику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 цит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статиків та інших протипухлинних препаратів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протистояти запаленню у тканинах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СОПР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обраного контингенту дітей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Разом з тим, цифрові значення вихідних даних показника каталази достовірно не відрізняються в обох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пах дослідження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(p &gt; 0,05).</w:t>
      </w:r>
    </w:p>
    <w:p w:rsidR="00F879E9" w:rsidRPr="00966737" w:rsidRDefault="00C6444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Застосування місцевих лікувально-профілактичних засобів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гігієнічн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 лізоцим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еліксиру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 групі порівняння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сприяло підвищенню акти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ності каталази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 дітей у досліджуваних групах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у перший гострий період та період рецидиву, так і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ремісії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цьому відразу ж через місяць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спостережень у групах порівняння відзначалося підвищення цього показника на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33,3% (р</w:t>
      </w:r>
      <w:r w:rsidR="002D2D8F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0,05).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 явище, безумовно, зумовлене антиоксидантними вла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тивостями поверхнево-активної речовини цетавлон, що входить до складу гігієнічного еліксиру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Однак, ці позитивні зміни носили нестійкий характер та на наступних етапах спостереження активність каталази ротової рідини достовірно не відрізнялася від вихідного рівня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(р</w:t>
      </w:r>
      <w:r w:rsidR="005D397E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0,05). </w:t>
      </w:r>
    </w:p>
    <w:p w:rsidR="00F879E9" w:rsidRPr="00966737" w:rsidRDefault="00F52187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Застосування розробленого ЛПК, до складу якого входили кверцетин</w:t>
      </w:r>
      <w:r w:rsidR="001A3CE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 мукозальний гель, а також гель з великою кількістю поліфенолів, флавонолів, антоцианів та катехінів, суміш бісульфату алкалоїдів сангвін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рину та хелеритрину, протигрибковий та пробіотичний препарати, для лік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 запалення СОПР у пацієнтів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3CE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років основної групи спостереження, які знаходилися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 гострому періоді або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рецидиву ГЛЛ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встановило стійке підвищення активності каталази вже на перших етапах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слідження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Так, в основній групі дітей через місяць після лікування цифрові значення показника, що вивчається, збільшилися у 2,4 рази, через 3 місяці вони досягли свого максимального значення – у 2,6 раз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потім почали знижуватися, але, не дивлячись на це, активність каталази була у 2 рази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щою за її первинні значення в кінці дослідження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410C0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 5.</w:t>
      </w:r>
      <w:r w:rsidR="00FE2704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879E9" w:rsidRPr="00966737" w:rsidRDefault="00F52187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Така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 тенденція була встановлена при лікуванні розробленими мет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дами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F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дітей в іншому періоді перебігу ГЛЛ – періоді ремісії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9E9" w:rsidRDefault="00F52187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проведеного лікування через місяць спостережень активність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талази збільшувалася майже </w:t>
      </w:r>
      <w:r w:rsidR="0040518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 рази в основній групі. Встановлене підв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щення активності каталази спостерігалося протягом перших трьох місяців після завершення лікувальних заходів, а через півроку активність показника, що вивчається, знижувалася та складала 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0,29</w:t>
      </w:r>
      <w:r w:rsidR="00F879E9" w:rsidRPr="00F52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±0,016 </w:t>
      </w:r>
      <w:r w:rsidR="00F879E9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B21DE2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F879E9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кат/л,</w:t>
      </w:r>
      <w:r w:rsidR="00F879E9" w:rsidRPr="00F52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але залишалася при цьому достовірно вищою, ніж на початку лікування</w:t>
      </w:r>
      <w:r w:rsidR="00F879E9" w:rsidRPr="00F52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 </w:t>
      </w:r>
      <w:r w:rsidR="002D2D8F" w:rsidRPr="00F52187">
        <w:rPr>
          <w:rFonts w:ascii="Times New Roman" w:eastAsia="Times New Roman" w:hAnsi="Times New Roman" w:cs="Times New Roman"/>
          <w:sz w:val="28"/>
          <w:szCs w:val="28"/>
          <w:lang w:val="uk-UA"/>
        </w:rPr>
        <w:t>&lt;</w:t>
      </w:r>
      <w:r w:rsidR="00F879E9" w:rsidRPr="00F52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0,05). </w:t>
      </w:r>
    </w:p>
    <w:p w:rsidR="00C22E49" w:rsidRPr="00240333" w:rsidRDefault="00240333" w:rsidP="0024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033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10275" cy="3143250"/>
            <wp:effectExtent l="19050" t="0" r="9525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879E9" w:rsidRDefault="00FE2704" w:rsidP="00FE27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7410C0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882AC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86C" w:rsidRPr="009E1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Динаміка змін активності каталази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8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 у перший гос</w:t>
      </w:r>
      <w:r w:rsidR="00882ACD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882ACD">
        <w:rPr>
          <w:rFonts w:ascii="Times New Roman" w:eastAsia="Times New Roman" w:hAnsi="Times New Roman" w:cs="Times New Roman"/>
          <w:sz w:val="28"/>
          <w:szCs w:val="28"/>
          <w:lang w:val="uk-UA"/>
        </w:rPr>
        <w:t>рий період та в період рецидиву</w:t>
      </w:r>
    </w:p>
    <w:p w:rsidR="00534C59" w:rsidRDefault="00534C59" w:rsidP="00C22E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79E9" w:rsidRPr="00534C59" w:rsidRDefault="00534C59" w:rsidP="0053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Разом з тим, через рік у кінці спостережень активність каталази була в 2 рази вищою від вихідних даних на початку дослідження, що може свідчити про позитивний вплив розроблених методів лікування запальних захвор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вань СОПР на стан 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АОС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. 5.</w:t>
      </w:r>
      <w:r w:rsidR="00FE2704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2E49" w:rsidRPr="00240333" w:rsidRDefault="00240333" w:rsidP="0024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03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3200400"/>
            <wp:effectExtent l="19050" t="0" r="19050" b="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879E9" w:rsidRDefault="00FE2704" w:rsidP="00534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534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10C0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 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86C" w:rsidRPr="009E1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Динаміка змін активності каталази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71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 у період ремісії</w:t>
      </w:r>
    </w:p>
    <w:p w:rsidR="00534C59" w:rsidRPr="000E4E1E" w:rsidRDefault="00534C59" w:rsidP="00534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C59" w:rsidRPr="00966737" w:rsidRDefault="00534C59" w:rsidP="0053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Звертає на себе увагу той факт, що при лікуванні запалення СОПР в обраного контингенту дітей групи порівняння, які мали ГХКГ та стоматит, але при цьому використовували лише лізоцимвмісний ополіскувач для гігі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 порожнини рота, активність каталази підвищувалася у 1,5 раз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вже через місяць спостережень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11B5" w:rsidRPr="00534C59" w:rsidRDefault="00534C59" w:rsidP="0053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Однак у кінці дослідження цифрові значення показника, що вивчається, достовірно не відрізнялися від своїх вихідних даних на початку лікування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(р </w:t>
      </w:r>
      <w:r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 xml:space="preserve"> 0,05).</w:t>
      </w:r>
    </w:p>
    <w:p w:rsidR="00F879E9" w:rsidRDefault="008714CE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застосування розроблених нами ЛПЗ, що включають у себе проведення професійної гігієни порожнини рота та наступного лікува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аплікаціями </w:t>
      </w:r>
      <w:r w:rsidR="00AD6805">
        <w:rPr>
          <w:rFonts w:ascii="Times New Roman" w:eastAsia="Times New Roman" w:hAnsi="Times New Roman" w:cs="Times New Roman"/>
          <w:sz w:val="28"/>
          <w:szCs w:val="28"/>
          <w:lang w:val="uk-UA"/>
        </w:rPr>
        <w:t>кверцетин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="00AD6805">
        <w:rPr>
          <w:rFonts w:ascii="Times New Roman" w:eastAsia="Times New Roman" w:hAnsi="Times New Roman" w:cs="Times New Roman"/>
          <w:sz w:val="28"/>
          <w:szCs w:val="28"/>
          <w:lang w:val="uk-UA"/>
        </w:rPr>
        <w:t>ого мукозального гелю, а також гелю, що м</w:t>
      </w:r>
      <w:r w:rsidR="00AD68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D6805">
        <w:rPr>
          <w:rFonts w:ascii="Times New Roman" w:eastAsia="Times New Roman" w:hAnsi="Times New Roman" w:cs="Times New Roman"/>
          <w:sz w:val="28"/>
          <w:szCs w:val="28"/>
          <w:lang w:val="uk-UA"/>
        </w:rPr>
        <w:t>стить велику кількість поліфенолів, флавонолів, антоцианів та катехінів, с</w:t>
      </w:r>
      <w:r w:rsidR="00AD680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D68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міші бісульфату алкалоїдів </w:t>
      </w:r>
      <w:r w:rsidR="000143CF">
        <w:rPr>
          <w:rFonts w:ascii="Times New Roman" w:eastAsia="Times New Roman" w:hAnsi="Times New Roman" w:cs="Times New Roman"/>
          <w:sz w:val="28"/>
          <w:szCs w:val="28"/>
          <w:lang w:val="uk-UA"/>
        </w:rPr>
        <w:t>сангвінарину та хелеритрину</w:t>
      </w:r>
      <w:r w:rsidR="00AD68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їхні комбінації з пробіотичним та протигрибковим препаратами</w:t>
      </w:r>
      <w:r w:rsidR="00F43B98">
        <w:rPr>
          <w:rFonts w:ascii="Times New Roman" w:eastAsia="Times New Roman" w:hAnsi="Times New Roman" w:cs="Times New Roman"/>
          <w:sz w:val="28"/>
          <w:szCs w:val="28"/>
          <w:lang w:val="uk-UA"/>
        </w:rPr>
        <w:t>, спричиняє виражену стим</w:t>
      </w:r>
      <w:r w:rsidR="00F43B9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43B98">
        <w:rPr>
          <w:rFonts w:ascii="Times New Roman" w:eastAsia="Times New Roman" w:hAnsi="Times New Roman" w:cs="Times New Roman"/>
          <w:sz w:val="28"/>
          <w:szCs w:val="28"/>
          <w:lang w:val="uk-UA"/>
        </w:rPr>
        <w:t>люючу дію на стан тканин пародонту та СОПР</w:t>
      </w:r>
      <w:r w:rsidR="00F879E9" w:rsidRPr="00534C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43B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цьому саме комбінов</w:t>
      </w:r>
      <w:r w:rsidR="00F43B9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43B98">
        <w:rPr>
          <w:rFonts w:ascii="Times New Roman" w:eastAsia="Times New Roman" w:hAnsi="Times New Roman" w:cs="Times New Roman"/>
          <w:sz w:val="28"/>
          <w:szCs w:val="28"/>
          <w:lang w:val="uk-UA"/>
        </w:rPr>
        <w:t>ний метод лікування забезпечує стабільно високий рівень функціональної активності АОС у всіх досліджуваних групах, що особливо важливо для д</w:t>
      </w:r>
      <w:r w:rsidR="00F43B9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43B98">
        <w:rPr>
          <w:rFonts w:ascii="Times New Roman" w:eastAsia="Times New Roman" w:hAnsi="Times New Roman" w:cs="Times New Roman"/>
          <w:sz w:val="28"/>
          <w:szCs w:val="28"/>
          <w:lang w:val="uk-UA"/>
        </w:rPr>
        <w:t>тей, які мають у своєму анамнезі гострий лімфобластний лейкоз</w:t>
      </w:r>
      <w:r w:rsidR="00F879E9" w:rsidRPr="00F43B9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26EF" w:rsidRPr="00F43B98" w:rsidRDefault="004226EF" w:rsidP="00534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79E9" w:rsidRPr="00966737" w:rsidRDefault="00F879E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5.3.3. </w:t>
      </w:r>
      <w:r w:rsidR="00F43B9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Динаміка показників неспецифічної резистентності </w:t>
      </w:r>
      <w:r w:rsidR="00AC67B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</w:t>
      </w:r>
      <w:r w:rsidR="00F43B9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порожнині рота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879E9" w:rsidRPr="00F43B98" w:rsidRDefault="00F43B98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Одним з показників резистентності організму людини </w:t>
      </w:r>
      <w:r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до патологічни</w:t>
      </w:r>
      <w:r w:rsidR="0089675C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</w:t>
      </w:r>
      <w:r w:rsidR="0089675C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</w:t>
      </w:r>
      <w:r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є рівень гуморального імунітету, а також деяких факторів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неспецифі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ного захисту. Захисні механізм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порожнини рота поділяються на дві групи</w:t>
      </w:r>
      <w:r w:rsidR="00F879E9" w:rsidRPr="00F43B9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неспецифічну резистентність до дії </w:t>
      </w:r>
      <w:r w:rsidR="00FE27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всіх мікроорганізмів </w:t>
      </w:r>
      <w:r w:rsidR="00FE27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специфічну (імунну), вироблену у відповідь на впровадження певних видів мікрооргані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мів</w:t>
      </w:r>
      <w:r w:rsidR="00F879E9" w:rsidRPr="00F43B9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79E9" w:rsidRPr="002007AC" w:rsidRDefault="00F43B98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Пригнічення місцевого імунітету порожнини рота впливає на вини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нення </w:t>
      </w:r>
      <w:r w:rsid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запалення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тканинах пародонту та СОПР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Ключову роль у системі а</w:t>
      </w:r>
      <w:r w:rsidR="002007AC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2007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тимікробного захисту ротової порожнини виконує муколітичний фермент лізоцим, </w:t>
      </w:r>
      <w:r w:rsidR="002007AC" w:rsidRPr="0089675C">
        <w:rPr>
          <w:rFonts w:ascii="Times New Roman" w:eastAsia="Times New Roman" w:hAnsi="Times New Roman" w:cs="Times New Roman"/>
          <w:sz w:val="28"/>
          <w:szCs w:val="28"/>
          <w:lang w:val="uk-UA"/>
        </w:rPr>
        <w:t>який лізує оболонку мікроорганізмів</w:t>
      </w:r>
      <w:r w:rsidR="002007AC">
        <w:rPr>
          <w:rFonts w:ascii="Times New Roman" w:eastAsia="Times New Roman" w:hAnsi="Times New Roman" w:cs="Times New Roman"/>
          <w:sz w:val="28"/>
          <w:szCs w:val="28"/>
          <w:lang w:val="uk-UA"/>
        </w:rPr>
        <w:t>, у першу чергу, грампозити</w:t>
      </w:r>
      <w:r w:rsidR="002007A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них, руйнує бактерії та віруси, а також стимулює фагоцитарну активність лейкоцитів та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бере</w:t>
      </w:r>
      <w:r w:rsid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у </w:t>
      </w:r>
      <w:r w:rsidR="002007AC" w:rsidRPr="00CB76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регенерації </w:t>
      </w:r>
      <w:r w:rsidR="00CB7605" w:rsidRPr="00CB7605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2007AC" w:rsidRPr="00CB7605">
        <w:rPr>
          <w:rFonts w:ascii="Times New Roman" w:eastAsia="Times New Roman" w:hAnsi="Times New Roman" w:cs="Times New Roman"/>
          <w:sz w:val="28"/>
          <w:szCs w:val="28"/>
          <w:lang w:val="uk-UA"/>
        </w:rPr>
        <w:t>іологічних</w:t>
      </w:r>
      <w:r w:rsid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тканин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79E9" w:rsidRPr="002007AC" w:rsidRDefault="002007AC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Результати вмісту лізоциму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ГХКГ,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виразк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 та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стоматитом, які протікали на 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гострих форм лейкемії, у динаміці спостережень представлені 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таблицях 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F879E9" w:rsidRPr="002007AC" w:rsidRDefault="002007AC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факторів місцевого імунітету показало низький вихідний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вень показників лізоциму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сіх обстежених дітей, незале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 від віку, особливо у тих, основне захворювання яких знаходилося у пе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шому гострому періоді або в періоді рецидиву, що, вочевидь, пояснюється порушенням системи антимікробного захисту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порожнині рота. Так, у дітей з ГЛЛ, який був діагностований гематологом у першому гострому періоді та періоді рецидив</w:t>
      </w:r>
      <w:r w:rsidR="00CB760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цифрові значення вмісту лізоциму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склад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 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9,79±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0,54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>д/л – 9,8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1±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0,51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д/л.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 основне захворювання яких знаходилося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ремісії, вихідні дані показника, що вивчаєтьс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CB760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початку лікування були несуттєво вищ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дорівнювали 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13,51±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0,68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д/л – 13,53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±0,75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879E9" w:rsidRPr="002007AC">
        <w:rPr>
          <w:rFonts w:ascii="Times New Roman" w:eastAsia="Times New Roman" w:hAnsi="Times New Roman" w:cs="Times New Roman"/>
          <w:sz w:val="28"/>
          <w:szCs w:val="28"/>
          <w:lang w:val="uk-UA"/>
        </w:rPr>
        <w:t>д/л.</w:t>
      </w:r>
    </w:p>
    <w:p w:rsidR="00F879E9" w:rsidRPr="00494EE8" w:rsidRDefault="002007AC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Місцеве застосування лізоцим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 ополіскувача сприяло незна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ному підвищенню вмісту лізоциму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сіх пацієнтів груп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рівняння. При цьому через місяць досліджень рівень лізоциму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цих групах підвищився у 1,4-1,6 раз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у дітей у першому гострому періоді та періоді рецидиву ГЛЛ, так і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гострим лімфобластним лейкозом у стадії рем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сії, а вже через 3 місяц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починав знижуватися та до кінця досліджень цифрові значення </w:t>
      </w:r>
      <w:r w:rsidR="00494EE8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показника, що вивчається, були близькими до початкового рівня та достовірно низькими по відношенню до основних груп спостереження</w:t>
      </w:r>
      <w:r w:rsidR="00F879E9" w:rsidRPr="00494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p</w:t>
      </w:r>
      <w:r w:rsidR="00F879E9" w:rsidRPr="00494EE8">
        <w:rPr>
          <w:rFonts w:ascii="Times New Roman" w:eastAsia="Times New Roman" w:hAnsi="Times New Roman" w:cs="Times New Roman"/>
          <w:sz w:val="28"/>
          <w:szCs w:val="28"/>
          <w:lang w:val="uk-UA"/>
        </w:rPr>
        <w:t>&gt;0,05).</w:t>
      </w:r>
    </w:p>
    <w:p w:rsidR="00F879E9" w:rsidRPr="00DC7A0C" w:rsidRDefault="00DC7A0C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той же час лікування вогнищ запалення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тканинах пародонту та сл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зової оболонки порожнини рота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основної групи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 гострому періоді та періоді рецидив</w:t>
      </w:r>
      <w:r w:rsidR="00297BF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основного захворювання, за допомогою застос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вання аплікацій кверцетин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мукозального </w:t>
      </w:r>
      <w:r w:rsidRPr="00297BFF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297BFF" w:rsidRPr="00297BFF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97BFF">
        <w:rPr>
          <w:rFonts w:ascii="Times New Roman" w:eastAsia="Times New Roman" w:hAnsi="Times New Roman" w:cs="Times New Roman"/>
          <w:sz w:val="28"/>
          <w:szCs w:val="28"/>
          <w:lang w:val="uk-UA"/>
        </w:rPr>
        <w:t>лю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його комбінації з гелем, що містить велику кількість поліфенолів, флавонолів, антоцианів та кахетинів, суміші бісульфату алкалоїдів </w:t>
      </w:r>
      <w:r w:rsidR="000143CF">
        <w:rPr>
          <w:rFonts w:ascii="Times New Roman" w:eastAsia="Times New Roman" w:hAnsi="Times New Roman" w:cs="Times New Roman"/>
          <w:sz w:val="28"/>
          <w:szCs w:val="28"/>
          <w:lang w:val="uk-UA"/>
        </w:rPr>
        <w:t>сангвінарину та хелеритрину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топластичного засобу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поєднанні з пробіотичним та протигрибковим преп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ратами, призводить до збільшення рівня лізоциму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та вже 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 місяць лікування цифрові значення цього показника збільшувалися у </w:t>
      </w:r>
      <w:r w:rsidR="00F879E9" w:rsidRPr="00DC7A0C">
        <w:rPr>
          <w:rFonts w:ascii="Times New Roman" w:eastAsia="Times New Roman" w:hAnsi="Times New Roman" w:cs="Times New Roman"/>
          <w:sz w:val="28"/>
          <w:szCs w:val="28"/>
          <w:lang w:val="uk-UA"/>
        </w:rPr>
        <w:t>1,8 раз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879E9" w:rsidRPr="00DC7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410C0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F879E9" w:rsidRPr="00DC7A0C">
        <w:rPr>
          <w:rFonts w:ascii="Times New Roman" w:eastAsia="Times New Roman" w:hAnsi="Times New Roman" w:cs="Times New Roman"/>
          <w:sz w:val="28"/>
          <w:szCs w:val="28"/>
          <w:lang w:val="uk-UA"/>
        </w:rPr>
        <w:t>. 5.</w:t>
      </w:r>
      <w:r w:rsidR="00FE2704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F879E9" w:rsidRPr="00DC7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 рівень ліз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циму залишався достовірно стабільно високим і через 6 місяців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19,18</w:t>
      </w:r>
      <w:r w:rsidR="00F879E9" w:rsidRPr="00DC7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±1,21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879E9" w:rsidRPr="00DC7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д/л,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суттєво відрізняючись від вихі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них даних як на початку дослідження</w:t>
      </w:r>
      <w:r w:rsidR="00F879E9" w:rsidRPr="00DC7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 &lt;0,05),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 і від значень у групі пор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вняння</w:t>
      </w:r>
      <w:r w:rsidR="00F879E9" w:rsidRPr="00DC7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p</w:t>
      </w:r>
      <w:r w:rsidR="00F879E9" w:rsidRPr="00DC7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&gt; 0,05).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Такі зміни показника, що вивчається, зберігалися до кінця дослідження, та через рік спостережень його цифрові значення складали </w:t>
      </w:r>
      <w:r w:rsidR="009E186C">
        <w:rPr>
          <w:rFonts w:ascii="Times New Roman" w:eastAsia="Times New Roman" w:hAnsi="Times New Roman" w:cs="Times New Roman"/>
          <w:sz w:val="28"/>
          <w:szCs w:val="28"/>
          <w:lang w:val="uk-UA"/>
        </w:rPr>
        <w:t>18,06±</w:t>
      </w:r>
      <w:r w:rsidR="00F879E9" w:rsidRPr="00DC7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1,16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879E9" w:rsidRPr="00DC7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д/л,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майже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вище за первинні дані.</w:t>
      </w:r>
    </w:p>
    <w:p w:rsidR="00F879E9" w:rsidRDefault="00DC7A0C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Звертає на себе увагу той факт, що динаміка вмісту лізоциму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основної групи та групи порівняння суттєво від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>різнялася, не дивлячись на те, що основне захворювання знаходилося в одному періоді р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>звитку. Так, у дітей основної групи рівень лізоциму досягав свого максим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>льного значення через 3 місяці піс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ля початку лікування. При цьому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групи порівняння достовірне збільшення його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>місту було лише через місяць дослідження, а через 3 місяці кількість показника, що вивчається, вже поч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>нала знижуватися</w:t>
      </w:r>
      <w:r w:rsidR="00F879E9" w:rsidRPr="00B70A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34C59" w:rsidRDefault="00534C59" w:rsidP="0053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Подібна тенденція зміни рівня лізоциму в ротовій рідині була встано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лена в дітей обох груп дослідження, основне онкогематологічне захворюва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 яких знаходилося в періоді ремісії.</w:t>
      </w:r>
      <w:r w:rsidRPr="00534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879E9" w:rsidRPr="00B70A2F" w:rsidRDefault="00534C59" w:rsidP="0053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у дітей основної групи з </w:t>
      </w:r>
      <w:r w:rsidRPr="00534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ГХКГ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виразково-кандидозним стом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титом у першому гострому періоді або в періоді рецидиву, при лікуванні яких застосовували мукозальний гель з великою кількістю поліфенолів, фл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вонолів, антоцианів та катехінів та його комбінації з пробіотичним препар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том, вміст лізоциму через місяць спостережень збільшувався у </w:t>
      </w:r>
      <w:r w:rsidRPr="00534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1,6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раз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При цьому через 3 місяці його вміст збільшувався ще більше і вже в 2 рази 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вищував первинне значення до проведення лікувальних заходів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Разом з тим,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через півроку рівень лізоциму починав знижуватися в дітей основної групи та його цифрове значення склало –  25,28</w:t>
      </w:r>
      <w:r w:rsidRPr="00290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±1,32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90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д/л.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Однак, не дивлячись на зниження рівня показника, що вивчається, він залишався достовірно вищим порівняно з початковими даними та даними групи порівняння</w:t>
      </w:r>
      <w:r w:rsidRPr="00290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0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&lt; 0,05), 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кінці дослідження вміст лізоциму був у </w:t>
      </w:r>
      <w:r w:rsidRPr="00290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1,8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раз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вищим вихідних даних та 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06B7">
        <w:rPr>
          <w:rFonts w:ascii="Times New Roman" w:eastAsia="Times New Roman" w:hAnsi="Times New Roman" w:cs="Times New Roman"/>
          <w:sz w:val="28"/>
          <w:szCs w:val="28"/>
          <w:lang w:val="uk-UA"/>
        </w:rPr>
        <w:t>1,6 раз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даних у групі порівняння</w:t>
      </w:r>
      <w:r w:rsidRPr="00290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Pr="002906B7">
        <w:rPr>
          <w:rFonts w:ascii="Times New Roman" w:eastAsia="Times New Roman" w:hAnsi="Times New Roman" w:cs="Times New Roman"/>
          <w:sz w:val="28"/>
          <w:szCs w:val="28"/>
          <w:lang w:val="uk-UA"/>
        </w:rPr>
        <w:t>. 5.</w:t>
      </w:r>
      <w:r w:rsidR="00D93904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2906B7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879E9" w:rsidRPr="00966737" w:rsidRDefault="00C93E02" w:rsidP="00F87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E0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067050"/>
            <wp:effectExtent l="19050" t="0" r="22225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879E9" w:rsidRPr="00534C59" w:rsidRDefault="007410C0" w:rsidP="0053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FE2704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0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Динаміка змін вмісту лізоциму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90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90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 у перший гострий період та у період рецидиву</w:t>
      </w:r>
    </w:p>
    <w:p w:rsidR="00D93904" w:rsidRDefault="00865412" w:rsidP="00534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4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25" cy="2838450"/>
            <wp:effectExtent l="19050" t="0" r="9525" b="0"/>
            <wp:docPr id="2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879E9" w:rsidRPr="00534C59" w:rsidRDefault="007410C0" w:rsidP="00534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F879E9" w:rsidRPr="00534C59">
        <w:rPr>
          <w:rFonts w:ascii="Times New Roman" w:eastAsia="Times New Roman" w:hAnsi="Times New Roman" w:cs="Times New Roman"/>
          <w:sz w:val="28"/>
          <w:szCs w:val="28"/>
          <w:lang w:val="uk-UA"/>
        </w:rPr>
        <w:t>. 5.</w:t>
      </w:r>
      <w:r w:rsidR="00D93904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F879E9" w:rsidRPr="00534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E6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Динаміка змін вмісту лізоциму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E6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</w:t>
      </w:r>
      <w:r w:rsidR="007219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E6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6169">
        <w:rPr>
          <w:rFonts w:ascii="Times New Roman" w:eastAsia="Times New Roman" w:hAnsi="Times New Roman" w:cs="Times New Roman"/>
          <w:sz w:val="28"/>
          <w:szCs w:val="28"/>
          <w:lang w:val="uk-UA"/>
        </w:rPr>
        <w:t>ГЛЛ у п</w:t>
      </w:r>
      <w:r w:rsidR="00AE6169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AE6169">
        <w:rPr>
          <w:rFonts w:ascii="Times New Roman" w:eastAsia="Times New Roman" w:hAnsi="Times New Roman" w:cs="Times New Roman"/>
          <w:sz w:val="28"/>
          <w:szCs w:val="28"/>
          <w:lang w:val="uk-UA"/>
        </w:rPr>
        <w:t>ріод ремісі</w:t>
      </w:r>
      <w:r w:rsidR="00534C59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:rsidR="00F879E9" w:rsidRPr="00534C59" w:rsidRDefault="00AE616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Представлені дані аналізу одного зі складових факторів місцевого ім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нітету </w:t>
      </w:r>
      <w:r w:rsidR="00F879E9" w:rsidRPr="00534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лізоциму, переконливо свідч</w:t>
      </w:r>
      <w:r w:rsidR="008F4A6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ть про те</w:t>
      </w:r>
      <w:r w:rsidR="00283AF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застосування розробл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методів лікування </w:t>
      </w:r>
      <w:r w:rsidR="00F879E9" w:rsidRPr="00534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ГХКГ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виразково-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стоматиту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групах дітей з ГЛЛ, що знаходяться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різних періодах розвитку основн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 захворювання, суттєво підвищують досліджуваний показник антимікро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захисту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порожнині рота незалежно від віку дитини</w:t>
      </w:r>
      <w:r w:rsidR="00F879E9" w:rsidRPr="00534C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79E9" w:rsidRPr="00966737" w:rsidRDefault="00AE616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Застосування розроблених способів лікування сприяло достовірному підвищенню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(р &lt; 0,05)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 одного показника неспецифічної резистентності у порожнині рота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– α-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дефензинів різних класів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9E9" w:rsidRPr="00966737" w:rsidRDefault="00AE616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Дефензини є найбільш еволюційно давніми пептидами, які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беруть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у неспецифічному захисті макроорганізм</w:t>
      </w:r>
      <w:r w:rsidR="00547E1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інфекційних агентів, активують внутрішньоклітинні механізми, що призводить до загибелі клітин мікроорганізмів, мають виражену бактерицидну дію до основних бактеріал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них інфекційних агентів, які колор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зують слизову оболонку порожнини рота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Streptococcus mutans, Streptococcus sanguis, Fusobacterium nucleatum, Porphyromonas gingivalis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Actinobacillus actinomycetemcomitans </w:t>
      </w:r>
      <w:r w:rsidR="00E259CB" w:rsidRPr="00061A69">
        <w:rPr>
          <w:rFonts w:ascii="Times New Roman" w:eastAsia="Times New Roman" w:hAnsi="Times New Roman" w:cs="Times New Roman"/>
          <w:sz w:val="28"/>
          <w:szCs w:val="28"/>
        </w:rPr>
        <w:t>[</w:t>
      </w:r>
      <w:r w:rsidR="00061A69">
        <w:rPr>
          <w:rFonts w:ascii="Times New Roman" w:eastAsia="Times New Roman" w:hAnsi="Times New Roman" w:cs="Times New Roman"/>
          <w:sz w:val="28"/>
          <w:szCs w:val="28"/>
        </w:rPr>
        <w:t>259,</w:t>
      </w:r>
      <w:r w:rsidR="00283A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A69">
        <w:rPr>
          <w:rFonts w:ascii="Times New Roman" w:eastAsia="Times New Roman" w:hAnsi="Times New Roman" w:cs="Times New Roman"/>
          <w:sz w:val="28"/>
          <w:szCs w:val="28"/>
        </w:rPr>
        <w:t>260,</w:t>
      </w:r>
      <w:r w:rsidR="00283A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A69">
        <w:rPr>
          <w:rFonts w:ascii="Times New Roman" w:eastAsia="Times New Roman" w:hAnsi="Times New Roman" w:cs="Times New Roman"/>
          <w:sz w:val="28"/>
          <w:szCs w:val="28"/>
        </w:rPr>
        <w:t>261</w:t>
      </w:r>
      <w:r w:rsidR="00F879E9" w:rsidRPr="00061A69">
        <w:rPr>
          <w:rFonts w:ascii="Times New Roman" w:eastAsia="Times New Roman" w:hAnsi="Times New Roman" w:cs="Times New Roman"/>
          <w:sz w:val="28"/>
          <w:szCs w:val="28"/>
        </w:rPr>
        <w:t>].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Крім антимікробної функції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АМП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мають виражені імуномодулюючі властивості, а також можуть здійснювати хемотоксичну дію на різні протиз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пальні клітини, індукувати апоптоз, сприяти репарації тканин та відіграють ключову роль в організації взаємозв</w:t>
      </w:r>
      <w:r w:rsidR="00325E02">
        <w:rPr>
          <w:rFonts w:ascii="Times New Roman" w:eastAsia="Times New Roman" w:hAnsi="Times New Roman" w:cs="Times New Roman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язку між неспецифічними механізмами захисту та адаптивною імунною системою організму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9E9" w:rsidRPr="00061A69">
        <w:rPr>
          <w:rFonts w:ascii="Times New Roman" w:eastAsia="Times New Roman" w:hAnsi="Times New Roman" w:cs="Times New Roman"/>
          <w:sz w:val="28"/>
          <w:szCs w:val="28"/>
        </w:rPr>
        <w:t>[</w:t>
      </w:r>
      <w:r w:rsidR="00061A69">
        <w:rPr>
          <w:rFonts w:ascii="Times New Roman" w:eastAsia="Times New Roman" w:hAnsi="Times New Roman" w:cs="Times New Roman"/>
          <w:sz w:val="28"/>
          <w:szCs w:val="28"/>
        </w:rPr>
        <w:t>262,</w:t>
      </w:r>
      <w:r w:rsidR="00283A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A69">
        <w:rPr>
          <w:rFonts w:ascii="Times New Roman" w:eastAsia="Times New Roman" w:hAnsi="Times New Roman" w:cs="Times New Roman"/>
          <w:sz w:val="28"/>
          <w:szCs w:val="28"/>
        </w:rPr>
        <w:t>263,</w:t>
      </w:r>
      <w:r w:rsidR="00283A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A69">
        <w:rPr>
          <w:rFonts w:ascii="Times New Roman" w:eastAsia="Times New Roman" w:hAnsi="Times New Roman" w:cs="Times New Roman"/>
          <w:sz w:val="28"/>
          <w:szCs w:val="28"/>
        </w:rPr>
        <w:t>264</w:t>
      </w:r>
      <w:r w:rsidR="00F879E9" w:rsidRPr="00061A69">
        <w:rPr>
          <w:rFonts w:ascii="Times New Roman" w:eastAsia="Times New Roman" w:hAnsi="Times New Roman" w:cs="Times New Roman"/>
          <w:sz w:val="28"/>
          <w:szCs w:val="28"/>
        </w:rPr>
        <w:t xml:space="preserve"> ].</w:t>
      </w:r>
    </w:p>
    <w:p w:rsidR="00F879E9" w:rsidRPr="00966737" w:rsidRDefault="00AE616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Провідним джерелом, що забезпечує достатню концентрацію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α-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дефензи</w:t>
      </w:r>
      <w:r w:rsidR="00325E02">
        <w:rPr>
          <w:rFonts w:ascii="Times New Roman" w:eastAsia="Times New Roman" w:hAnsi="Times New Roman" w:cs="Times New Roman"/>
          <w:sz w:val="28"/>
          <w:szCs w:val="28"/>
          <w:lang w:val="uk-UA"/>
        </w:rPr>
        <w:t>нів у ротовій рідині, є підщелеп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 слинні залози, а дефіцит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HNP-1, HNP-2, HNP-3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дозволяє бактеріальним агентам колонізувати поверхню сл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зової оболонки порожнини рота, викликаючи запальні процеси </w:t>
      </w:r>
      <w:r w:rsidR="008C6D4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ній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9E9" w:rsidRPr="00061A69">
        <w:rPr>
          <w:rFonts w:ascii="Times New Roman" w:eastAsia="Times New Roman" w:hAnsi="Times New Roman" w:cs="Times New Roman"/>
          <w:sz w:val="28"/>
          <w:szCs w:val="28"/>
        </w:rPr>
        <w:t>[</w:t>
      </w:r>
      <w:r w:rsidR="00061A69">
        <w:rPr>
          <w:rFonts w:ascii="Times New Roman" w:eastAsia="Times New Roman" w:hAnsi="Times New Roman" w:cs="Times New Roman"/>
          <w:sz w:val="28"/>
          <w:szCs w:val="28"/>
        </w:rPr>
        <w:t>265,266</w:t>
      </w:r>
      <w:r w:rsidR="00F879E9" w:rsidRPr="00061A6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F879E9" w:rsidRPr="00966737" w:rsidRDefault="00AE616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Тому нами було обран</w:t>
      </w:r>
      <w:r w:rsidR="008C6D4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концентрації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α-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дефензинів</w:t>
      </w:r>
      <w:r w:rsidR="00E51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ротовій рідині дітей з генералізованим хронічним катаральним гінгівітом та виразк</w:t>
      </w:r>
      <w:r w:rsidR="00E5188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E5188D">
        <w:rPr>
          <w:rFonts w:ascii="Times New Roman" w:eastAsia="Times New Roman" w:hAnsi="Times New Roman" w:cs="Times New Roman"/>
          <w:sz w:val="28"/>
          <w:szCs w:val="28"/>
          <w:lang w:val="uk-UA"/>
        </w:rPr>
        <w:t>во-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 w:rsidR="00E51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стоматитом, які протікали на 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тлі</w:t>
      </w:r>
      <w:r w:rsidR="00E51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гостр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E51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2CF6">
        <w:rPr>
          <w:rFonts w:ascii="Times New Roman" w:eastAsia="Times New Roman" w:hAnsi="Times New Roman" w:cs="Times New Roman"/>
          <w:sz w:val="28"/>
          <w:szCs w:val="28"/>
          <w:lang w:val="uk-UA"/>
        </w:rPr>
        <w:t>лімфобластного лецкозу</w:t>
      </w:r>
      <w:r w:rsidR="00D2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1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="00D2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1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різні</w:t>
      </w:r>
      <w:r w:rsidR="00D2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1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періоди </w:t>
      </w:r>
      <w:r w:rsidR="00D2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</w:t>
      </w:r>
      <w:r w:rsidR="00E51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перебігу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9E9" w:rsidRPr="00966737" w:rsidRDefault="00E5188D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таблиці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5.5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наведені результати вивчення концентрації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α-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дефензинів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HNP-1, HNP-2, HNP-3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ротовій рідині дітей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7-18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років з виразковим та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стоматитом на </w:t>
      </w:r>
      <w:r w:rsidR="00D20C35">
        <w:rPr>
          <w:rFonts w:ascii="Times New Roman" w:eastAsia="Times New Roman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D20C35">
        <w:rPr>
          <w:rFonts w:ascii="Times New Roman" w:eastAsia="Times New Roman" w:hAnsi="Times New Roman" w:cs="Times New Roman"/>
          <w:sz w:val="28"/>
          <w:szCs w:val="28"/>
          <w:lang w:val="uk-UA"/>
        </w:rPr>
        <w:t>гострого лімфобластного лейкозу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динаміці спостереження під дією різних варіантів лікування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9E9" w:rsidRPr="00966737" w:rsidRDefault="00F879E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9E9" w:rsidRPr="00966737" w:rsidRDefault="00F879E9" w:rsidP="00F879E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>Таблиц</w:t>
      </w:r>
      <w:r w:rsidR="00E518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5.5</w:t>
      </w:r>
    </w:p>
    <w:p w:rsidR="00F879E9" w:rsidRPr="00966737" w:rsidRDefault="00E5188D" w:rsidP="00E51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Динаміка зміни концентрації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α-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дефензинів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(HNP 1-3)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 у перший гострий період та в період рецидиву,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мкг / мл (M ± m)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976"/>
        <w:gridCol w:w="1770"/>
        <w:gridCol w:w="2343"/>
      </w:tblGrid>
      <w:tr w:rsidR="00F879E9" w:rsidRPr="00966737" w:rsidTr="00C22E49">
        <w:trPr>
          <w:trHeight w:val="575"/>
          <w:jc w:val="center"/>
        </w:trPr>
        <w:tc>
          <w:tcPr>
            <w:tcW w:w="2977" w:type="dxa"/>
            <w:vAlign w:val="center"/>
          </w:tcPr>
          <w:p w:rsidR="00F879E9" w:rsidRPr="00E5188D" w:rsidRDefault="00E5188D" w:rsidP="00E5188D">
            <w:pPr>
              <w:spacing w:line="36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Групи дітей</w:t>
            </w:r>
          </w:p>
        </w:tc>
        <w:tc>
          <w:tcPr>
            <w:tcW w:w="1976" w:type="dxa"/>
            <w:vAlign w:val="center"/>
          </w:tcPr>
          <w:p w:rsidR="00F879E9" w:rsidRPr="00E5188D" w:rsidRDefault="00F879E9" w:rsidP="00E51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до </w:t>
            </w:r>
            <w:r w:rsidR="00E518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лікування</w:t>
            </w:r>
          </w:p>
        </w:tc>
        <w:tc>
          <w:tcPr>
            <w:tcW w:w="0" w:type="auto"/>
            <w:vAlign w:val="center"/>
          </w:tcPr>
          <w:p w:rsidR="00F879E9" w:rsidRPr="00966737" w:rsidRDefault="00F879E9" w:rsidP="00E51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через 6 м</w:t>
            </w:r>
            <w:r w:rsidR="00E518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</w:t>
            </w:r>
          </w:p>
        </w:tc>
        <w:tc>
          <w:tcPr>
            <w:tcW w:w="2343" w:type="dxa"/>
            <w:vAlign w:val="center"/>
          </w:tcPr>
          <w:p w:rsidR="00F879E9" w:rsidRPr="00966737" w:rsidRDefault="00F879E9" w:rsidP="00E5188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через 12 м</w:t>
            </w:r>
            <w:r w:rsidR="00E518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</w:t>
            </w:r>
          </w:p>
        </w:tc>
      </w:tr>
      <w:tr w:rsidR="00F879E9" w:rsidRPr="00966737" w:rsidTr="00C22E49">
        <w:trPr>
          <w:trHeight w:val="554"/>
          <w:jc w:val="center"/>
        </w:trPr>
        <w:tc>
          <w:tcPr>
            <w:tcW w:w="2977" w:type="dxa"/>
            <w:vAlign w:val="center"/>
          </w:tcPr>
          <w:p w:rsidR="00F879E9" w:rsidRPr="00966737" w:rsidRDefault="00E5188D" w:rsidP="00E5188D">
            <w:pPr>
              <w:spacing w:line="36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879E9"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сновна</w:t>
            </w:r>
          </w:p>
        </w:tc>
        <w:tc>
          <w:tcPr>
            <w:tcW w:w="1976" w:type="dxa"/>
            <w:vAlign w:val="center"/>
          </w:tcPr>
          <w:p w:rsidR="00F879E9" w:rsidRPr="00966737" w:rsidRDefault="00F879E9" w:rsidP="00C22E4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1,12 ± 0,059</w:t>
            </w:r>
          </w:p>
        </w:tc>
        <w:tc>
          <w:tcPr>
            <w:tcW w:w="0" w:type="auto"/>
            <w:vAlign w:val="center"/>
          </w:tcPr>
          <w:p w:rsidR="00F879E9" w:rsidRPr="00966737" w:rsidRDefault="00F879E9" w:rsidP="00C22E4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7,35 ± 0,404*</w:t>
            </w:r>
          </w:p>
        </w:tc>
        <w:tc>
          <w:tcPr>
            <w:tcW w:w="2343" w:type="dxa"/>
            <w:vAlign w:val="center"/>
          </w:tcPr>
          <w:p w:rsidR="00F879E9" w:rsidRPr="00966737" w:rsidRDefault="00F879E9" w:rsidP="00C22E4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6,29 ± 0,391*</w:t>
            </w:r>
          </w:p>
        </w:tc>
      </w:tr>
      <w:tr w:rsidR="00F879E9" w:rsidRPr="00966737" w:rsidTr="00C22E49">
        <w:trPr>
          <w:trHeight w:val="563"/>
          <w:jc w:val="center"/>
        </w:trPr>
        <w:tc>
          <w:tcPr>
            <w:tcW w:w="2977" w:type="dxa"/>
            <w:vAlign w:val="center"/>
          </w:tcPr>
          <w:p w:rsidR="00F879E9" w:rsidRPr="00E5188D" w:rsidRDefault="00E5188D" w:rsidP="00C22E49">
            <w:pPr>
              <w:spacing w:line="36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порівняння</w:t>
            </w:r>
          </w:p>
        </w:tc>
        <w:tc>
          <w:tcPr>
            <w:tcW w:w="1976" w:type="dxa"/>
            <w:vAlign w:val="center"/>
          </w:tcPr>
          <w:p w:rsidR="00F879E9" w:rsidRPr="00966737" w:rsidRDefault="00F879E9" w:rsidP="00C22E4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1,15 ± 0,061</w:t>
            </w:r>
          </w:p>
        </w:tc>
        <w:tc>
          <w:tcPr>
            <w:tcW w:w="0" w:type="auto"/>
            <w:vAlign w:val="center"/>
          </w:tcPr>
          <w:p w:rsidR="00F879E9" w:rsidRPr="00966737" w:rsidRDefault="00F879E9" w:rsidP="00C22E4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3,22 ± 0,174</w:t>
            </w:r>
          </w:p>
        </w:tc>
        <w:tc>
          <w:tcPr>
            <w:tcW w:w="2343" w:type="dxa"/>
            <w:vAlign w:val="center"/>
          </w:tcPr>
          <w:p w:rsidR="00F879E9" w:rsidRPr="00966737" w:rsidRDefault="00F879E9" w:rsidP="00C22E4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2,04 ± 0,113</w:t>
            </w:r>
          </w:p>
        </w:tc>
      </w:tr>
    </w:tbl>
    <w:p w:rsidR="00F879E9" w:rsidRPr="00C81D8E" w:rsidRDefault="00E5188D" w:rsidP="00C81D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Примітка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: * </w:t>
      </w:r>
      <w:r w:rsidR="00283AF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</w:t>
      </w:r>
      <w:r w:rsidR="00C203EC">
        <w:rPr>
          <w:rFonts w:ascii="Times New Roman" w:eastAsia="Times New Roman" w:hAnsi="Times New Roman" w:cs="Times New Roman"/>
          <w:sz w:val="28"/>
          <w:szCs w:val="28"/>
          <w:lang w:val="uk-UA"/>
        </w:rPr>
        <w:t>ей порівняно з групою порівнянн</w:t>
      </w:r>
      <w:r w:rsidRPr="00DC4CC3">
        <w:rPr>
          <w:rFonts w:ascii="Times New Roman" w:eastAsia="Times New Roman" w:hAnsi="Times New Roman" w:cs="Times New Roman"/>
          <w:vanish/>
          <w:sz w:val="28"/>
          <w:szCs w:val="28"/>
          <w:lang w:val="uk-UA"/>
        </w:rPr>
        <w:t>Початок форми</w:t>
      </w:r>
    </w:p>
    <w:p w:rsidR="00F879E9" w:rsidRPr="00966737" w:rsidRDefault="00294497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вихідних даних демонструє знижений рівень концентрації </w:t>
      </w:r>
      <w:r w:rsidR="00056592">
        <w:rPr>
          <w:rFonts w:ascii="Times New Roman" w:eastAsia="Times New Roman" w:hAnsi="Times New Roman" w:cs="Times New Roman"/>
          <w:sz w:val="28"/>
          <w:szCs w:val="28"/>
        </w:rPr>
        <w:t>HNP 1-3</w:t>
      </w:r>
      <w:r w:rsidR="00F879E9" w:rsidRPr="0005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</w:t>
      </w:r>
      <w:r w:rsidR="00D20C3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групі дітей, так і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групі порівняння</w:t>
      </w:r>
      <w:r w:rsidR="00F879E9" w:rsidRPr="000565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056592">
        <w:rPr>
          <w:rFonts w:ascii="Times New Roman" w:eastAsia="Times New Roman" w:hAnsi="Times New Roman" w:cs="Times New Roman"/>
          <w:sz w:val="28"/>
          <w:szCs w:val="28"/>
        </w:rPr>
        <w:t xml:space="preserve"> 1,12±0,059 мкг/мл до 1,15±</w:t>
      </w:r>
      <w:r w:rsidR="00F879E9" w:rsidRPr="00056592">
        <w:rPr>
          <w:rFonts w:ascii="Times New Roman" w:eastAsia="Times New Roman" w:hAnsi="Times New Roman" w:cs="Times New Roman"/>
          <w:sz w:val="28"/>
          <w:szCs w:val="28"/>
        </w:rPr>
        <w:t xml:space="preserve">0,061). </w:t>
      </w: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у ротовій рідині дітей, стоматологічні захворювання яких протікають у першому гострому періоді або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рецидиву, цифрові зн</w:t>
      </w: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чення показника, що вивчається, знижені в середньому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79E9" w:rsidRPr="00056592">
        <w:rPr>
          <w:rFonts w:ascii="Times New Roman" w:eastAsia="Times New Roman" w:hAnsi="Times New Roman" w:cs="Times New Roman"/>
          <w:sz w:val="28"/>
          <w:szCs w:val="28"/>
        </w:rPr>
        <w:t xml:space="preserve">6-7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разів порівняно </w:t>
      </w: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56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значеннями у соматично здорових дітей</w:t>
      </w:r>
      <w:r w:rsidR="00F879E9" w:rsidRPr="000565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79E9" w:rsidRPr="00966737" w:rsidRDefault="00294497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Це, на нашу думку, можна пояснити тим, що при стоматологічній пат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логії, що вивчається, підвищується активізація життєдіяльності різних пар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донтотропних мікроорганізмів,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викликають запальні захворювання пар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донту, а також грибів роду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Candida.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той же час, концентрація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HNP 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>зал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жить також від важкості основного захворювання дитини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>гострого лімфо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>ластного лейкозу та період</w:t>
      </w:r>
      <w:r w:rsidR="008F2C7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перебігу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Так, у дітей у першому гострому періоді та в періоді рецидиву встановлена найменша концентрація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HNP 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>у р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>товій рідині дітей у всіх вікових групах порівняно з дітьми, у яких ГЛЛ зн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03A21">
        <w:rPr>
          <w:rFonts w:ascii="Times New Roman" w:eastAsia="Times New Roman" w:hAnsi="Times New Roman" w:cs="Times New Roman"/>
          <w:sz w:val="28"/>
          <w:szCs w:val="28"/>
          <w:lang w:val="uk-UA"/>
        </w:rPr>
        <w:t>ходиться у стадії ремісії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9E9" w:rsidRPr="00966737" w:rsidRDefault="00003A21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Однак при лікуванні запальних захворювань СОПР та проведенні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роблених ЛПЗ (аплікації з мукозальним гелем та гелем, що місти</w:t>
      </w:r>
      <w:r w:rsidR="008F2C7D">
        <w:rPr>
          <w:rFonts w:ascii="Times New Roman" w:eastAsia="Times New Roman" w:hAnsi="Times New Roman" w:cs="Times New Roman"/>
          <w:sz w:val="28"/>
          <w:szCs w:val="28"/>
          <w:lang w:val="uk-UA"/>
        </w:rPr>
        <w:t>ть поліф</w:t>
      </w:r>
      <w:r w:rsidR="008F2C7D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8F2C7D">
        <w:rPr>
          <w:rFonts w:ascii="Times New Roman" w:eastAsia="Times New Roman" w:hAnsi="Times New Roman" w:cs="Times New Roman"/>
          <w:sz w:val="28"/>
          <w:szCs w:val="28"/>
          <w:lang w:val="uk-UA"/>
        </w:rPr>
        <w:t>ноли, флавоноли, антоці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ани, катехіни та їхні комбінації з сумішшю бісульф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 алкалоїдів </w:t>
      </w:r>
      <w:r w:rsidR="000143CF">
        <w:rPr>
          <w:rFonts w:ascii="Times New Roman" w:eastAsia="Times New Roman" w:hAnsi="Times New Roman" w:cs="Times New Roman"/>
          <w:sz w:val="28"/>
          <w:szCs w:val="28"/>
          <w:lang w:val="uk-UA"/>
        </w:rPr>
        <w:t>сангвінарину та хелеритрину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прийому пробіотичного та протигрибкового препаратів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дітей у першому гострому періоді та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ріоді рецидиву ГЛЛ, концентрація показника, що вивчається, збільшувалася через 6 місяців спостережень у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6,5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разів у основній групі. Подібна тенденція була встановлена при аналізі концентрації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HNP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у групі порівняння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(р </w:t>
      </w:r>
      <w:r w:rsidR="002D2D8F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0,05).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Так, після застосування лізоцим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ополіскувача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досліджуван</w:t>
      </w:r>
      <w:r w:rsidR="004673C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групі концентрація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α-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дефензинів достовірно збільшувалася і вже через півр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 складала </w:t>
      </w:r>
      <w:r w:rsidR="00056592">
        <w:rPr>
          <w:rFonts w:ascii="Times New Roman" w:eastAsia="Times New Roman" w:hAnsi="Times New Roman" w:cs="Times New Roman"/>
          <w:sz w:val="28"/>
          <w:szCs w:val="28"/>
        </w:rPr>
        <w:t>–  3,22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±0,174 мкг/мл. </w:t>
      </w:r>
    </w:p>
    <w:p w:rsidR="00F879E9" w:rsidRPr="00966737" w:rsidRDefault="00003A21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 через рік після лікування концентрація показника, що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вчається, несуттєво знижувалася як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групі, так і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групі порівняння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Разом з тим, 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кінці спостереження вона більш</w:t>
      </w:r>
      <w:r w:rsidR="005624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 у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разів перевищувала вихідні дані на початку дослідження у основній групі дітей та у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1,8 раз</w:t>
      </w:r>
      <w:r w:rsidR="00D20C3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групі порівняння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9E9" w:rsidRPr="00966737" w:rsidRDefault="00003A21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аналізі цифрових значень концентрації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HNP 1-3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ротовій рідині дітей, які мали запальні захворювання тканин пародонту та СОПР на </w:t>
      </w:r>
      <w:r w:rsidR="00D20C35">
        <w:rPr>
          <w:rFonts w:ascii="Times New Roman" w:eastAsia="Times New Roman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трого лімфобластного лейкозу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ремісії, нами був встановлений низ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кий вміст показника, що вивчається, на початку дослідження від </w:t>
      </w:r>
      <w:r w:rsidR="00056592">
        <w:rPr>
          <w:rFonts w:ascii="Times New Roman" w:eastAsia="Times New Roman" w:hAnsi="Times New Roman" w:cs="Times New Roman"/>
          <w:sz w:val="28"/>
          <w:szCs w:val="28"/>
        </w:rPr>
        <w:t>1,9±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0,101 мкг/мл до 1,95±0,103 мкг/мл (табл. 5.6).</w:t>
      </w:r>
    </w:p>
    <w:p w:rsidR="00F879E9" w:rsidRPr="00966737" w:rsidRDefault="00003A21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лікування стоматологічної патології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основної групи, основне захворювання яких знаходилося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ремісії, шляхом застос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вання розробленого ЛПК, що складається з мукозального гелю із великим вмістом поліфенолів, флавонолів, антоцианів та катехінів, препарат антио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сидантних вітамінів у комбінації з пробіотичним препаратом на фоні поло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кання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порожнини рота лізоцим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>им гелем, достовірно збільшувало ко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центрацію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α-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>дефензинів та вже через півроку вона складала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8,91±0,45 мкг/мл, 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>що майже відповідало нормальним значенням у соматично здорових дітей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(р&lt;0,05). 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>Однак, не дивлячи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на незначне зниження цифрових значень 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показника, що вивчається,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кінці дослідження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даній групі він був майже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разів ви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щим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свої вихідні дані, що свідчить про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зміцнення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місцевого ім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нітету та вираженого антимікробного захисту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порожнині рота досліджув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00C8B">
        <w:rPr>
          <w:rFonts w:ascii="Times New Roman" w:eastAsia="Times New Roman" w:hAnsi="Times New Roman" w:cs="Times New Roman"/>
          <w:sz w:val="28"/>
          <w:szCs w:val="28"/>
          <w:lang w:val="uk-UA"/>
        </w:rPr>
        <w:t>них дітей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(табл. 5.6).</w:t>
      </w:r>
    </w:p>
    <w:p w:rsidR="00F879E9" w:rsidRPr="00966737" w:rsidRDefault="00F879E9" w:rsidP="00F879E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>Таблиц</w:t>
      </w:r>
      <w:r w:rsidR="00000C8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 5.6</w:t>
      </w:r>
    </w:p>
    <w:p w:rsidR="00F879E9" w:rsidRPr="00966737" w:rsidRDefault="00000C8B" w:rsidP="00F879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Динаміка змін концентрації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α-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дефензинів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(HNP)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ротовій рідині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ГЛЛ у період ремісії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, мкг / мл (M ± m)</w:t>
      </w:r>
    </w:p>
    <w:tbl>
      <w:tblPr>
        <w:tblStyle w:val="40"/>
        <w:tblW w:w="0" w:type="auto"/>
        <w:jc w:val="center"/>
        <w:tblLook w:val="04A0" w:firstRow="1" w:lastRow="0" w:firstColumn="1" w:lastColumn="0" w:noHBand="0" w:noVBand="1"/>
      </w:tblPr>
      <w:tblGrid>
        <w:gridCol w:w="3148"/>
        <w:gridCol w:w="1747"/>
        <w:gridCol w:w="1630"/>
        <w:gridCol w:w="2272"/>
      </w:tblGrid>
      <w:tr w:rsidR="00F879E9" w:rsidRPr="00966737" w:rsidTr="00C22E49">
        <w:trPr>
          <w:trHeight w:val="574"/>
          <w:jc w:val="center"/>
        </w:trPr>
        <w:tc>
          <w:tcPr>
            <w:tcW w:w="3148" w:type="dxa"/>
            <w:vAlign w:val="center"/>
          </w:tcPr>
          <w:p w:rsidR="00F879E9" w:rsidRPr="00000C8B" w:rsidRDefault="00000C8B" w:rsidP="00C22E49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Групи дітей</w:t>
            </w:r>
          </w:p>
        </w:tc>
        <w:tc>
          <w:tcPr>
            <w:tcW w:w="0" w:type="auto"/>
            <w:vAlign w:val="center"/>
          </w:tcPr>
          <w:p w:rsidR="00F879E9" w:rsidRPr="00000C8B" w:rsidRDefault="00F879E9" w:rsidP="00000C8B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000C8B">
              <w:rPr>
                <w:rFonts w:ascii="Times New Roman" w:eastAsia="Times New Roman" w:hAnsi="Times New Roman"/>
                <w:sz w:val="28"/>
                <w:szCs w:val="28"/>
              </w:rPr>
              <w:t>лікування</w:t>
            </w:r>
          </w:p>
        </w:tc>
        <w:tc>
          <w:tcPr>
            <w:tcW w:w="0" w:type="auto"/>
            <w:vAlign w:val="center"/>
          </w:tcPr>
          <w:p w:rsidR="00F879E9" w:rsidRPr="00966737" w:rsidRDefault="00F879E9" w:rsidP="00000C8B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через 6 м</w:t>
            </w:r>
            <w:r w:rsidR="00000C8B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с.</w:t>
            </w:r>
          </w:p>
        </w:tc>
        <w:tc>
          <w:tcPr>
            <w:tcW w:w="2272" w:type="dxa"/>
            <w:vAlign w:val="center"/>
          </w:tcPr>
          <w:p w:rsidR="00F879E9" w:rsidRPr="00966737" w:rsidRDefault="00F879E9" w:rsidP="00000C8B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через 12 м</w:t>
            </w:r>
            <w:r w:rsidR="00000C8B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с.</w:t>
            </w:r>
          </w:p>
        </w:tc>
      </w:tr>
      <w:tr w:rsidR="00F879E9" w:rsidRPr="00966737" w:rsidTr="00C22E49">
        <w:trPr>
          <w:jc w:val="center"/>
        </w:trPr>
        <w:tc>
          <w:tcPr>
            <w:tcW w:w="3148" w:type="dxa"/>
            <w:vAlign w:val="center"/>
          </w:tcPr>
          <w:p w:rsidR="00F879E9" w:rsidRPr="00966737" w:rsidRDefault="00000C8B" w:rsidP="00000C8B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F879E9"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сновна</w:t>
            </w:r>
          </w:p>
        </w:tc>
        <w:tc>
          <w:tcPr>
            <w:tcW w:w="0" w:type="auto"/>
            <w:vAlign w:val="center"/>
          </w:tcPr>
          <w:p w:rsidR="00F879E9" w:rsidRPr="00966737" w:rsidRDefault="00F879E9" w:rsidP="00C22E49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1,93 ± 0,101</w:t>
            </w:r>
          </w:p>
        </w:tc>
        <w:tc>
          <w:tcPr>
            <w:tcW w:w="0" w:type="auto"/>
            <w:vAlign w:val="center"/>
          </w:tcPr>
          <w:p w:rsidR="00F879E9" w:rsidRPr="00966737" w:rsidRDefault="00F879E9" w:rsidP="00C22E49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8,91 ± 0,45*</w:t>
            </w:r>
          </w:p>
        </w:tc>
        <w:tc>
          <w:tcPr>
            <w:tcW w:w="2272" w:type="dxa"/>
            <w:vAlign w:val="center"/>
          </w:tcPr>
          <w:p w:rsidR="00F879E9" w:rsidRPr="00966737" w:rsidRDefault="00F879E9" w:rsidP="00C22E49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8,92 ± 0,43*</w:t>
            </w:r>
          </w:p>
        </w:tc>
      </w:tr>
      <w:tr w:rsidR="00F879E9" w:rsidRPr="00966737" w:rsidTr="00C22E49">
        <w:trPr>
          <w:jc w:val="center"/>
        </w:trPr>
        <w:tc>
          <w:tcPr>
            <w:tcW w:w="3148" w:type="dxa"/>
            <w:vAlign w:val="center"/>
          </w:tcPr>
          <w:p w:rsidR="00F879E9" w:rsidRPr="00000C8B" w:rsidRDefault="00000C8B" w:rsidP="00C22E49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порівняння</w:t>
            </w:r>
          </w:p>
        </w:tc>
        <w:tc>
          <w:tcPr>
            <w:tcW w:w="0" w:type="auto"/>
            <w:vAlign w:val="center"/>
          </w:tcPr>
          <w:p w:rsidR="00F879E9" w:rsidRPr="00966737" w:rsidRDefault="00F879E9" w:rsidP="00C22E49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1,95 ± 0,103</w:t>
            </w:r>
          </w:p>
        </w:tc>
        <w:tc>
          <w:tcPr>
            <w:tcW w:w="0" w:type="auto"/>
            <w:vAlign w:val="center"/>
          </w:tcPr>
          <w:p w:rsidR="00F879E9" w:rsidRPr="00966737" w:rsidRDefault="00F879E9" w:rsidP="00C22E49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4,87 ± 0,25</w:t>
            </w:r>
          </w:p>
        </w:tc>
        <w:tc>
          <w:tcPr>
            <w:tcW w:w="2272" w:type="dxa"/>
            <w:vAlign w:val="center"/>
          </w:tcPr>
          <w:p w:rsidR="00F879E9" w:rsidRPr="00966737" w:rsidRDefault="00F879E9" w:rsidP="00C22E49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667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3,66 ± 0,19</w:t>
            </w:r>
          </w:p>
        </w:tc>
      </w:tr>
    </w:tbl>
    <w:p w:rsidR="00F879E9" w:rsidRPr="00966737" w:rsidRDefault="00000C8B" w:rsidP="00C22E4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Примітка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: * </w:t>
      </w:r>
      <w:r w:rsidR="00056592" w:rsidRPr="009667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із групою порівняння</w:t>
      </w:r>
      <w:r w:rsidR="00056592" w:rsidRPr="000565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879E9" w:rsidRPr="00966737" w:rsidRDefault="008001A5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Звертає на себе увагу те, що застосування всього лише лізоцим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ополіскувача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групі порівняння через 6 місяців у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2,5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рази збільшувало 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центрацію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α-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дефензинів, а через рік спостережень значення даного показника було майже в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рази вище вихідних даних на початку дослідження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9E9" w:rsidRPr="00966737" w:rsidRDefault="008001A5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Представлені дані аналізу складових факторів неспецифічної резисте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тності та місцевого імунітету переконливо свідчать про те, що застосування розроблених ЛПК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основних групах більш суттєво підвищують показник антимікробного захисту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порожнині рота, що вивчається, у дітей всіх груп, що спостерігаються, незалежно від періоду перебігу основного захворювання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ГЛЛ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9E9" w:rsidRPr="008001A5" w:rsidRDefault="008001A5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отримані результати досліджень свідчать про стимул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ючий вплив проведених лікувально-профілактичних заходів на природну 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тимікробну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систему захисту порожнини рота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у дітей основних груп сп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стереження, так і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групах порівняння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Подібне явище слід розглядати як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зитивний процес, що сприяє підвищенню резистентності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тканинах парод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нту та СОПР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Однак, більш суттєве та стабільне збільшення концентрації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lastRenderedPageBreak/>
        <w:t>HNP</w:t>
      </w:r>
      <w:r w:rsidR="00F879E9" w:rsidRPr="008001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1-3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встановлене </w:t>
      </w:r>
      <w:r w:rsidR="002F3F1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ротовій рідині дітей основних груп, що, можл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во, зумовлен</w:t>
      </w:r>
      <w:r w:rsidR="004A220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підвищенням секреції ротової рідини та зменшенням кількості мікрофлори порожнини рота під впливом розроблених нами методів лікува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5659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складаються із застосування </w:t>
      </w:r>
      <w:r w:rsidR="00467B74">
        <w:rPr>
          <w:rFonts w:ascii="Times New Roman" w:eastAsia="Times New Roman" w:hAnsi="Times New Roman" w:cs="Times New Roman"/>
          <w:sz w:val="28"/>
          <w:szCs w:val="28"/>
          <w:lang w:val="uk-UA"/>
        </w:rPr>
        <w:t>мукозальних гелів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комбінації з антим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котичним препаратом та пробіотиком на фоні використання лізоцим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 ополіскувача, незалежно від періоду перебігу основного захворювання крові</w:t>
      </w:r>
      <w:r w:rsidR="00F879E9" w:rsidRPr="008001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79E9" w:rsidRPr="00966737" w:rsidRDefault="00F879E9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 xml:space="preserve">5.3.4. </w:t>
      </w:r>
      <w:r w:rsidR="008001A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Зміна </w:t>
      </w:r>
      <w:r w:rsidR="008001A5" w:rsidRPr="00056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мікробно</w:t>
      </w:r>
      <w:r w:rsidR="002813F9" w:rsidRPr="00056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 обсіменіння</w:t>
      </w:r>
      <w:r w:rsidR="002813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порожнини рота </w:t>
      </w:r>
      <w:r w:rsidR="002F3F1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</w:t>
      </w:r>
      <w:r w:rsidR="002813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динаміці лік</w:t>
      </w:r>
      <w:r w:rsidR="002813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="002813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вання</w:t>
      </w:r>
      <w:r w:rsidRPr="0096673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879E9" w:rsidRPr="002813F9" w:rsidRDefault="002813F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Ступінь обсіменіння порожнини рота патогенною та умовно-патогенною мікрофлорою, що є неодмінною умовою для розвитку запалення </w:t>
      </w:r>
      <w:r w:rsidR="002F3F1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тканинах слизової оболонки порожнини рота, визначається рівнем активн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сті такого ферменту ротової рідини, як уреаза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Результати дослідження акт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вності уреази </w:t>
      </w:r>
      <w:r w:rsidR="002F3F1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ротовій рідині </w:t>
      </w:r>
      <w:r w:rsidR="002F3F1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дітей, які мали такі стоматологічні захвор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вання, як </w:t>
      </w:r>
      <w:r w:rsidR="00F879E9" w:rsidRP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ГХКГ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та виразково-</w:t>
      </w:r>
      <w:r w:rsidR="00797B32">
        <w:rPr>
          <w:rFonts w:ascii="Times New Roman" w:eastAsia="MS Mincho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ний стоматит, що протікають на </w:t>
      </w:r>
      <w:r w:rsidR="00D20C35">
        <w:rPr>
          <w:rFonts w:ascii="Times New Roman" w:eastAsia="MS Mincho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 ГЛЛ у першому гострому періоді та 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періоді рецидиву або ремісії, після проведення розроблених нами лікувально-профілактичних заходів у динам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ці, представлені у таблицях </w:t>
      </w:r>
      <w:r w:rsidR="00F879E9" w:rsidRPr="002813F9">
        <w:rPr>
          <w:rFonts w:ascii="Times New Roman" w:eastAsia="MS Mincho" w:hAnsi="Times New Roman" w:cs="Times New Roman"/>
          <w:sz w:val="28"/>
          <w:szCs w:val="28"/>
          <w:lang w:val="uk-UA"/>
        </w:rPr>
        <w:t>7</w:t>
      </w:r>
      <w:r w:rsidR="00056592"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F879E9" w:rsidRP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8 (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додаток</w:t>
      </w:r>
      <w:r w:rsidR="00F879E9" w:rsidRPr="002813F9">
        <w:rPr>
          <w:rFonts w:ascii="Times New Roman" w:eastAsia="MS Mincho" w:hAnsi="Times New Roman" w:cs="Times New Roman"/>
          <w:sz w:val="28"/>
          <w:szCs w:val="28"/>
          <w:lang w:val="uk-UA"/>
        </w:rPr>
        <w:t>).</w:t>
      </w:r>
    </w:p>
    <w:p w:rsidR="00F879E9" w:rsidRPr="00966737" w:rsidRDefault="00F879E9" w:rsidP="00F879E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13F9"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Застосування </w:t>
      </w:r>
      <w:r w:rsidR="004A220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4A2207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сіх групах порівняння лізоцим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ого зубного елі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сиру сприяло зниженню активності уреази </w:t>
      </w:r>
      <w:r w:rsidR="00D9638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ротовій рідині у </w:t>
      </w:r>
      <w:r w:rsidRP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1,7 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раз</w:t>
      </w:r>
      <w:r w:rsidR="00D20C35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при цьому, </w:t>
      </w:r>
      <w:r w:rsidR="00D9638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більшості випадків, вона зберігалася достатньо довго на досто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вірно низькому рівні порівняно 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з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значеннями на початку спостережень</w:t>
      </w:r>
      <w:r w:rsidRP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(р&lt;0,05). 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Разом з тим, антимікробна дія гігієнічного засобу була нестабільною та ре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лізовувалася лише протягом трьох місяців 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від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початку дослідження, не пр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являючись на наступних етапах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7410C0">
        <w:rPr>
          <w:rFonts w:ascii="Times New Roman" w:eastAsia="MS Mincho" w:hAnsi="Times New Roman" w:cs="Times New Roman"/>
          <w:sz w:val="28"/>
          <w:szCs w:val="28"/>
          <w:lang w:val="uk-UA"/>
        </w:rPr>
        <w:t>рис</w:t>
      </w:r>
      <w:r w:rsidRPr="00966737">
        <w:rPr>
          <w:rFonts w:ascii="Times New Roman" w:eastAsia="MS Mincho" w:hAnsi="Times New Roman" w:cs="Times New Roman"/>
          <w:sz w:val="28"/>
          <w:szCs w:val="28"/>
        </w:rPr>
        <w:t>. 5.</w:t>
      </w:r>
      <w:r w:rsidR="00D93904">
        <w:rPr>
          <w:rFonts w:ascii="Times New Roman" w:eastAsia="MS Mincho" w:hAnsi="Times New Roman" w:cs="Times New Roman"/>
          <w:sz w:val="28"/>
          <w:szCs w:val="28"/>
          <w:lang w:val="uk-UA"/>
        </w:rPr>
        <w:t>15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). </w:t>
      </w:r>
    </w:p>
    <w:p w:rsidR="00C06492" w:rsidRPr="00966737" w:rsidRDefault="00F879E9" w:rsidP="00F879E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66737">
        <w:rPr>
          <w:rFonts w:ascii="Times New Roman" w:eastAsia="MS Mincho" w:hAnsi="Times New Roman" w:cs="Times New Roman"/>
          <w:sz w:val="28"/>
          <w:szCs w:val="28"/>
        </w:rPr>
        <w:tab/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Більш </w:t>
      </w:r>
      <w:r w:rsidR="002813F9" w:rsidRPr="00D96387">
        <w:rPr>
          <w:rFonts w:ascii="Times New Roman" w:eastAsia="MS Mincho" w:hAnsi="Times New Roman" w:cs="Times New Roman"/>
          <w:sz w:val="28"/>
          <w:szCs w:val="28"/>
          <w:lang w:val="uk-UA"/>
        </w:rPr>
        <w:t>ефективно знижувало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активність уреази 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ротовій рідині, а, отже, і ступінь мікробного обсіменіння 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рота 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із запальними з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хворюваннями слизової оболонки, які протікали 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першому гострому періоді та періоді рецидиву основного захворювання 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Г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ЛЛ, 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призначення після пр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фесійної гігієни не лише лізоцим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ого зубного еліксиру, але й кверцети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н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ого мукозального гелю, а також гелю з великою кількістю поліфенолів, 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флавонолів, антоцианів та катехінів, суміші бісульфату алкалоїдів 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сангвін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рину та хелеритрину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, протигрибкового та пробіотичного препаратів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879E9" w:rsidRPr="00966737" w:rsidRDefault="002813F9" w:rsidP="00C0649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Звертає на себе увагу той факт, що </w:t>
      </w:r>
      <w:r w:rsidR="00D20C35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дітей, яким проводили комбінов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не лікування розробленим лікувально-профілактичним комплексом, акти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ність уреази знижувалася у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1,6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</w:t>
      </w:r>
      <w:r w:rsidR="00D20C35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вже через місяць від початку спостер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жень, а її максимально низьке значення було встановлен</w:t>
      </w:r>
      <w:r w:rsidR="00937E5A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через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місяці сп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стереження та склало </w:t>
      </w:r>
      <w:r w:rsidR="00937E5A">
        <w:rPr>
          <w:rFonts w:ascii="Times New Roman" w:eastAsia="MS Mincho" w:hAnsi="Times New Roman" w:cs="Times New Roman"/>
          <w:sz w:val="28"/>
          <w:szCs w:val="28"/>
        </w:rPr>
        <w:t>16,68±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0,93 </w:t>
      </w:r>
      <w:r w:rsidR="00A637CB" w:rsidRPr="00385BC0">
        <w:rPr>
          <w:rFonts w:ascii="Times New Roman" w:hAnsi="Times New Roman"/>
          <w:sz w:val="28"/>
          <w:szCs w:val="28"/>
        </w:rPr>
        <w:t xml:space="preserve">мкмоль </w:t>
      </w:r>
      <w:r w:rsidR="00A637CB" w:rsidRPr="00DC4CC3">
        <w:rPr>
          <w:rFonts w:ascii="Times New Roman" w:hAnsi="Times New Roman"/>
          <w:sz w:val="28"/>
          <w:szCs w:val="28"/>
        </w:rPr>
        <w:t>NH</w:t>
      </w:r>
      <w:r w:rsidR="00A637CB" w:rsidRPr="00DC4CC3">
        <w:rPr>
          <w:rFonts w:ascii="Times New Roman" w:hAnsi="Times New Roman"/>
          <w:sz w:val="28"/>
          <w:szCs w:val="28"/>
          <w:vertAlign w:val="subscript"/>
        </w:rPr>
        <w:t>3</w:t>
      </w:r>
      <w:r w:rsidR="00A637CB" w:rsidRPr="00DC4CC3">
        <w:rPr>
          <w:rFonts w:ascii="Times New Roman" w:hAnsi="Times New Roman"/>
          <w:sz w:val="28"/>
          <w:szCs w:val="28"/>
        </w:rPr>
        <w:t>/</w:t>
      </w:r>
      <w:r w:rsidR="00DC4CC3" w:rsidRPr="00DC4CC3">
        <w:rPr>
          <w:rFonts w:ascii="Times New Roman" w:hAnsi="Times New Roman"/>
          <w:sz w:val="28"/>
          <w:szCs w:val="28"/>
          <w:lang w:val="uk-UA"/>
        </w:rPr>
        <w:t>хв</w:t>
      </w:r>
      <w:r w:rsidR="00DC4CC3" w:rsidRPr="00DC4CC3">
        <w:rPr>
          <w:rFonts w:ascii="Times New Roman" w:hAnsi="Times New Roman"/>
          <w:sz w:val="28"/>
          <w:szCs w:val="28"/>
          <w:vertAlign w:val="superscript"/>
        </w:rPr>
        <w:t>.</w:t>
      </w:r>
      <w:r w:rsidR="00DC4CC3" w:rsidRPr="00DC4CC3">
        <w:rPr>
          <w:rFonts w:ascii="Times New Roman" w:hAnsi="Times New Roman"/>
          <w:sz w:val="28"/>
          <w:szCs w:val="28"/>
        </w:rPr>
        <w:t>л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що у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1,8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</w:t>
      </w:r>
      <w:r w:rsidR="00D20C35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нижче за 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хідні дані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7410C0">
        <w:rPr>
          <w:rFonts w:ascii="Times New Roman" w:eastAsia="MS Mincho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 5.</w:t>
      </w:r>
      <w:r w:rsidR="00D93904">
        <w:rPr>
          <w:rFonts w:ascii="Times New Roman" w:eastAsia="MS Mincho" w:hAnsi="Times New Roman" w:cs="Times New Roman"/>
          <w:sz w:val="28"/>
          <w:szCs w:val="28"/>
          <w:lang w:val="uk-UA"/>
        </w:rPr>
        <w:t>15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).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Однак, 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кінці дослідження активність уреази несуттєво збільшувалася до </w:t>
      </w:r>
      <w:r w:rsidR="00937E5A">
        <w:rPr>
          <w:rFonts w:ascii="Times New Roman" w:eastAsia="MS Mincho" w:hAnsi="Times New Roman" w:cs="Times New Roman"/>
          <w:sz w:val="28"/>
          <w:szCs w:val="28"/>
        </w:rPr>
        <w:t>19,95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±1,05 </w:t>
      </w:r>
      <w:r w:rsidR="00A637CB" w:rsidRPr="00385BC0">
        <w:rPr>
          <w:rFonts w:ascii="Times New Roman" w:hAnsi="Times New Roman"/>
          <w:sz w:val="28"/>
          <w:szCs w:val="28"/>
        </w:rPr>
        <w:t xml:space="preserve">мкмоль </w:t>
      </w:r>
      <w:r w:rsidR="00A637CB" w:rsidRPr="00DC4CC3">
        <w:rPr>
          <w:rFonts w:ascii="Times New Roman" w:hAnsi="Times New Roman"/>
          <w:sz w:val="28"/>
          <w:szCs w:val="28"/>
        </w:rPr>
        <w:t>NH</w:t>
      </w:r>
      <w:r w:rsidR="00A637CB" w:rsidRPr="00DC4CC3">
        <w:rPr>
          <w:rFonts w:ascii="Times New Roman" w:hAnsi="Times New Roman"/>
          <w:sz w:val="28"/>
          <w:szCs w:val="28"/>
          <w:vertAlign w:val="subscript"/>
        </w:rPr>
        <w:t>3</w:t>
      </w:r>
      <w:r w:rsidR="00937E5A" w:rsidRPr="00DC4CC3">
        <w:rPr>
          <w:rFonts w:ascii="Times New Roman" w:hAnsi="Times New Roman"/>
          <w:sz w:val="28"/>
          <w:szCs w:val="28"/>
        </w:rPr>
        <w:t>/</w:t>
      </w:r>
      <w:r w:rsidR="00DC4CC3" w:rsidRPr="00DC4CC3">
        <w:rPr>
          <w:rFonts w:ascii="Times New Roman" w:hAnsi="Times New Roman"/>
          <w:sz w:val="28"/>
          <w:szCs w:val="28"/>
          <w:lang w:val="uk-UA"/>
        </w:rPr>
        <w:t>хв</w:t>
      </w:r>
      <w:r w:rsidR="00A637CB" w:rsidRPr="00DC4CC3">
        <w:rPr>
          <w:rFonts w:ascii="Times New Roman" w:hAnsi="Times New Roman"/>
          <w:sz w:val="28"/>
          <w:szCs w:val="28"/>
          <w:vertAlign w:val="superscript"/>
        </w:rPr>
        <w:t>.</w:t>
      </w:r>
      <w:r w:rsidR="00A637CB" w:rsidRPr="00DC4CC3">
        <w:rPr>
          <w:rFonts w:ascii="Times New Roman" w:hAnsi="Times New Roman"/>
          <w:sz w:val="28"/>
          <w:szCs w:val="28"/>
        </w:rPr>
        <w:t>л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але залишалася, як і раніше, достовірно нижч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ою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від своїх вихідних цифрових значень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(p</w:t>
      </w:r>
      <w:r w:rsidR="002D2D8F">
        <w:rPr>
          <w:rFonts w:ascii="Times New Roman" w:eastAsia="MS Mincho" w:hAnsi="Times New Roman" w:cs="Times New Roman"/>
          <w:sz w:val="28"/>
          <w:szCs w:val="28"/>
        </w:rPr>
        <w:t>&lt;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0,05)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на початку дослідження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879E9" w:rsidRPr="00966737" w:rsidRDefault="00F879E9" w:rsidP="00F879E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06492" w:rsidRPr="00966737" w:rsidRDefault="00333CDE" w:rsidP="00F87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45473"/>
            <wp:effectExtent l="19050" t="0" r="22225" b="0"/>
            <wp:docPr id="2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879E9" w:rsidRPr="00966737" w:rsidRDefault="007410C0" w:rsidP="00C06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hAnsi="Times New Roman" w:cs="Times New Roman"/>
          <w:sz w:val="28"/>
          <w:szCs w:val="28"/>
        </w:rPr>
        <w:t>. 5.</w:t>
      </w:r>
      <w:r w:rsidR="00D9390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879E9" w:rsidRPr="00966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3F9">
        <w:rPr>
          <w:rFonts w:ascii="Times New Roman" w:hAnsi="Times New Roman" w:cs="Times New Roman"/>
          <w:sz w:val="28"/>
          <w:szCs w:val="28"/>
          <w:lang w:val="uk-UA"/>
        </w:rPr>
        <w:t>Динаміка змін активності уреази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F5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3F9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3F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3F9">
        <w:rPr>
          <w:rFonts w:ascii="Times New Roman" w:hAnsi="Times New Roman" w:cs="Times New Roman"/>
          <w:sz w:val="28"/>
          <w:szCs w:val="28"/>
          <w:lang w:val="uk-UA"/>
        </w:rPr>
        <w:t xml:space="preserve">ГЛЛ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3F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3F9">
        <w:rPr>
          <w:rFonts w:ascii="Times New Roman" w:hAnsi="Times New Roman" w:cs="Times New Roman"/>
          <w:sz w:val="28"/>
          <w:szCs w:val="28"/>
          <w:lang w:val="uk-UA"/>
        </w:rPr>
        <w:t>перший гострий період та в період рецидиву</w:t>
      </w:r>
    </w:p>
    <w:p w:rsidR="00F879E9" w:rsidRPr="00966737" w:rsidRDefault="00F879E9" w:rsidP="00F87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9E9" w:rsidRPr="00966737" w:rsidRDefault="002813F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Подібна динаміка зміни активності уреази була встановлена 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 дітей з генералізованим хронічним катаральним гінгівітом у порожнині рота </w:t>
      </w:r>
      <w:r w:rsidR="00D20C35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од ремісії основного захворювання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гострого лімфобластного лейкозу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7410C0">
        <w:rPr>
          <w:rFonts w:ascii="Times New Roman" w:eastAsia="MS Mincho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 5.</w:t>
      </w:r>
      <w:r w:rsidR="00D93904">
        <w:rPr>
          <w:rFonts w:ascii="Times New Roman" w:eastAsia="MS Mincho" w:hAnsi="Times New Roman" w:cs="Times New Roman"/>
          <w:sz w:val="28"/>
          <w:szCs w:val="28"/>
          <w:lang w:val="uk-UA"/>
        </w:rPr>
        <w:t>16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). </w:t>
      </w:r>
    </w:p>
    <w:p w:rsidR="00C06492" w:rsidRPr="00966737" w:rsidRDefault="00226BEB" w:rsidP="00C0649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226BEB">
        <w:rPr>
          <w:rFonts w:ascii="Times New Roman" w:eastAsia="MS Mincho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145473"/>
            <wp:effectExtent l="19050" t="0" r="22225" b="0"/>
            <wp:docPr id="25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06492" w:rsidRPr="000E4E1E" w:rsidRDefault="007410C0" w:rsidP="004C573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 5.</w:t>
      </w:r>
      <w:r w:rsidR="00D93904">
        <w:rPr>
          <w:rFonts w:ascii="Times New Roman" w:eastAsia="MS Mincho" w:hAnsi="Times New Roman" w:cs="Times New Roman"/>
          <w:sz w:val="28"/>
          <w:szCs w:val="28"/>
          <w:lang w:val="uk-UA"/>
        </w:rPr>
        <w:t>16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937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Динаміка змін активності уреази 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ГЛЛ у період рем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2813F9">
        <w:rPr>
          <w:rFonts w:ascii="Times New Roman" w:eastAsia="MS Mincho" w:hAnsi="Times New Roman" w:cs="Times New Roman"/>
          <w:sz w:val="28"/>
          <w:szCs w:val="28"/>
          <w:lang w:val="uk-UA"/>
        </w:rPr>
        <w:t>сії</w:t>
      </w:r>
    </w:p>
    <w:p w:rsidR="00F879E9" w:rsidRPr="000E4E1E" w:rsidRDefault="002813F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Курс аплікацій мукозального гелю, що містить комплекс стоматотро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них флавоноїдів та катехінів, використання лізоцим</w:t>
      </w:r>
      <w:r w:rsidR="00937E5A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ого ополіскувача у комбінації з пробіотичним препаратом при лікуванн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запалення 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тканинах пародонту знижували активність уреази майже 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F879E9" w:rsidRPr="000E4E1E"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рази за місяць спостер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жень та через </w:t>
      </w:r>
      <w:r w:rsidR="00F879E9" w:rsidRPr="000E4E1E">
        <w:rPr>
          <w:rFonts w:ascii="Times New Roman" w:eastAsia="MS Mincho" w:hAnsi="Times New Roman" w:cs="Times New Roman"/>
          <w:sz w:val="28"/>
          <w:szCs w:val="28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місяці її </w:t>
      </w:r>
      <w:r w:rsidR="004E1A85">
        <w:rPr>
          <w:rFonts w:ascii="Times New Roman" w:eastAsia="MS Mincho" w:hAnsi="Times New Roman" w:cs="Times New Roman"/>
          <w:sz w:val="28"/>
          <w:szCs w:val="28"/>
          <w:lang w:val="uk-UA"/>
        </w:rPr>
        <w:t>цифрові значення були практично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="004E1A8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як у здорових д</w:t>
      </w:r>
      <w:r w:rsidR="004E1A85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4E1A85">
        <w:rPr>
          <w:rFonts w:ascii="Times New Roman" w:eastAsia="MS Mincho" w:hAnsi="Times New Roman" w:cs="Times New Roman"/>
          <w:sz w:val="28"/>
          <w:szCs w:val="28"/>
          <w:lang w:val="uk-UA"/>
        </w:rPr>
        <w:t>тей</w:t>
      </w:r>
      <w:r w:rsidR="001B5F5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– </w:t>
      </w:r>
      <w:r w:rsidR="00F879E9" w:rsidRPr="000E4E1E">
        <w:rPr>
          <w:rFonts w:ascii="Times New Roman" w:eastAsia="MS Mincho" w:hAnsi="Times New Roman" w:cs="Times New Roman"/>
          <w:sz w:val="28"/>
          <w:szCs w:val="28"/>
        </w:rPr>
        <w:t xml:space="preserve"> 14,41±0,73 </w:t>
      </w:r>
      <w:r w:rsidR="00A637CB" w:rsidRPr="00385BC0">
        <w:rPr>
          <w:rFonts w:ascii="Times New Roman" w:hAnsi="Times New Roman"/>
          <w:sz w:val="28"/>
          <w:szCs w:val="28"/>
        </w:rPr>
        <w:t>мкмоль</w:t>
      </w:r>
      <w:r w:rsidR="00A637CB" w:rsidRPr="000E4E1E">
        <w:rPr>
          <w:rFonts w:ascii="Times New Roman" w:hAnsi="Times New Roman"/>
          <w:sz w:val="28"/>
          <w:szCs w:val="28"/>
        </w:rPr>
        <w:t xml:space="preserve"> </w:t>
      </w:r>
      <w:r w:rsidR="00A637CB" w:rsidRPr="00F218F7">
        <w:rPr>
          <w:rFonts w:ascii="Times New Roman" w:hAnsi="Times New Roman"/>
          <w:sz w:val="28"/>
          <w:szCs w:val="28"/>
          <w:lang w:val="en-US"/>
        </w:rPr>
        <w:t>NH</w:t>
      </w:r>
      <w:r w:rsidR="00A637CB" w:rsidRPr="000E4E1E">
        <w:rPr>
          <w:rFonts w:ascii="Times New Roman" w:hAnsi="Times New Roman"/>
          <w:sz w:val="28"/>
          <w:szCs w:val="28"/>
          <w:vertAlign w:val="subscript"/>
        </w:rPr>
        <w:t>3</w:t>
      </w:r>
      <w:r w:rsidR="00937E5A" w:rsidRPr="000E4E1E">
        <w:rPr>
          <w:rFonts w:ascii="Times New Roman" w:hAnsi="Times New Roman"/>
          <w:sz w:val="28"/>
          <w:szCs w:val="28"/>
        </w:rPr>
        <w:t>/</w:t>
      </w:r>
      <w:r w:rsidR="00DC4CC3" w:rsidRPr="00DC4CC3">
        <w:rPr>
          <w:rFonts w:ascii="Times New Roman" w:hAnsi="Times New Roman"/>
          <w:sz w:val="28"/>
          <w:szCs w:val="28"/>
          <w:lang w:val="uk-UA"/>
        </w:rPr>
        <w:t>хв</w:t>
      </w:r>
      <w:r w:rsidR="00A637CB" w:rsidRPr="000E4E1E">
        <w:rPr>
          <w:rFonts w:ascii="Times New Roman" w:hAnsi="Times New Roman"/>
          <w:sz w:val="28"/>
          <w:szCs w:val="28"/>
          <w:vertAlign w:val="superscript"/>
        </w:rPr>
        <w:t>.</w:t>
      </w:r>
      <w:r w:rsidR="00A637CB" w:rsidRPr="00DC4CC3">
        <w:rPr>
          <w:rFonts w:ascii="Times New Roman" w:hAnsi="Times New Roman"/>
          <w:sz w:val="28"/>
          <w:szCs w:val="28"/>
        </w:rPr>
        <w:t>л</w:t>
      </w:r>
      <w:r w:rsidR="00F879E9" w:rsidRPr="000E4E1E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879E9" w:rsidRPr="00966737" w:rsidRDefault="004E1A85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Однак через півроку активність уреази збільшувалася, що, вірогідно, було пов</w:t>
      </w:r>
      <w:r w:rsidR="00AD0776">
        <w:rPr>
          <w:rFonts w:ascii="Times New Roman" w:eastAsia="MS Mincho" w:hAnsi="Times New Roman" w:cs="Times New Roman"/>
          <w:sz w:val="28"/>
          <w:szCs w:val="28"/>
        </w:rPr>
        <w:t>'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язан</w:t>
      </w:r>
      <w:r w:rsidR="00AD0776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збільшенням рівня мікробного обсіменіння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та патогенною мікрофлорою, і в кінці спостережень її значення було </w:t>
      </w:r>
      <w:r w:rsidR="00937E5A">
        <w:rPr>
          <w:rFonts w:ascii="Times New Roman" w:eastAsia="MS Mincho" w:hAnsi="Times New Roman" w:cs="Times New Roman"/>
          <w:sz w:val="28"/>
          <w:szCs w:val="28"/>
        </w:rPr>
        <w:t>18,69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±0,98 </w:t>
      </w:r>
      <w:r w:rsidR="00A637CB" w:rsidRPr="00385BC0">
        <w:rPr>
          <w:rFonts w:ascii="Times New Roman" w:hAnsi="Times New Roman"/>
          <w:sz w:val="28"/>
          <w:szCs w:val="28"/>
        </w:rPr>
        <w:t xml:space="preserve">мкмоль </w:t>
      </w:r>
      <w:r w:rsidR="00A637CB" w:rsidRPr="00DC4CC3">
        <w:rPr>
          <w:rFonts w:ascii="Times New Roman" w:hAnsi="Times New Roman"/>
          <w:sz w:val="28"/>
          <w:szCs w:val="28"/>
        </w:rPr>
        <w:t>NH</w:t>
      </w:r>
      <w:r w:rsidR="00A637CB" w:rsidRPr="00DC4CC3">
        <w:rPr>
          <w:rFonts w:ascii="Times New Roman" w:hAnsi="Times New Roman"/>
          <w:sz w:val="28"/>
          <w:szCs w:val="28"/>
          <w:vertAlign w:val="subscript"/>
        </w:rPr>
        <w:t>3</w:t>
      </w:r>
      <w:r w:rsidR="00937E5A" w:rsidRPr="00DC4CC3">
        <w:rPr>
          <w:rFonts w:ascii="Times New Roman" w:hAnsi="Times New Roman"/>
          <w:sz w:val="28"/>
          <w:szCs w:val="28"/>
        </w:rPr>
        <w:t>/</w:t>
      </w:r>
      <w:r w:rsidR="00DC4CC3" w:rsidRPr="00DC4CC3">
        <w:rPr>
          <w:rFonts w:ascii="Times New Roman" w:hAnsi="Times New Roman"/>
          <w:sz w:val="28"/>
          <w:szCs w:val="28"/>
          <w:lang w:val="uk-UA"/>
        </w:rPr>
        <w:t>хв</w:t>
      </w:r>
      <w:r w:rsidR="00A637CB" w:rsidRPr="00DC4CC3">
        <w:rPr>
          <w:rFonts w:ascii="Times New Roman" w:hAnsi="Times New Roman"/>
          <w:sz w:val="28"/>
          <w:szCs w:val="28"/>
          <w:vertAlign w:val="superscript"/>
        </w:rPr>
        <w:t>.</w:t>
      </w:r>
      <w:r w:rsidR="00A637CB" w:rsidRPr="00DC4CC3">
        <w:rPr>
          <w:rFonts w:ascii="Times New Roman" w:hAnsi="Times New Roman"/>
          <w:sz w:val="28"/>
          <w:szCs w:val="28"/>
        </w:rPr>
        <w:t>л</w:t>
      </w:r>
      <w:r w:rsidR="00F879E9" w:rsidRPr="00DC4CC3">
        <w:rPr>
          <w:rFonts w:ascii="Times New Roman" w:eastAsia="MS Mincho" w:hAnsi="Times New Roman" w:cs="Times New Roman"/>
          <w:sz w:val="28"/>
          <w:szCs w:val="28"/>
        </w:rPr>
        <w:t>.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Разом з тим, не дивлячись на збільшення ступ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мікробного обсіменіння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даного контингенту дітей, активність уреази у 1,6 раз</w:t>
      </w:r>
      <w:r w:rsidR="00D20C35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нижч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ою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порівняно із даними на початку дослідження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(р&lt;0,05). </w:t>
      </w:r>
    </w:p>
    <w:p w:rsidR="00F879E9" w:rsidRPr="004E1A85" w:rsidRDefault="004E1A85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Таким чином, аналіз отриманих даних про динаміку зміни ступен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робного обсіменіння свідчить про те, що застосування лізоцим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ого зу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ного еліксиру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сіх дітей, що спостерігаються у групах порівняння, здійсн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вало</w:t>
      </w:r>
      <w:r w:rsidR="00DB769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короткочасну дію та слабкий но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</w:t>
      </w:r>
      <w:r w:rsidR="00DB7699">
        <w:rPr>
          <w:rFonts w:ascii="Times New Roman" w:eastAsia="MS Mincho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алізуючий ефект, знижуючи акти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ність уреази </w:t>
      </w:r>
      <w:r w:rsidR="00D20C35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ротовій рідині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але при цьому не було достатнім для посла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лення дії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УПМ.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На відміну від цього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систематичне проведення курсів лік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вання шляхом застосування розробленого лікувально-профілактичного ко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плексу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 комбінації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 гігієною порожнини рота, у більшій мірі знижували ступінь обсіменіння патогенною та умовно-патогенною мікрофлорою пор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жнини рота. Причому у тих пацієнтів, основне захворювання яких знаход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лося </w:t>
      </w:r>
      <w:r w:rsidR="00D20C35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періоді ремісії, ці позитивні зміни носили найбільш стабільний та тр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валий характер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відміну від інших досліджуваних груп, у яких запальні захворювання СОПР протікали </w:t>
      </w:r>
      <w:r w:rsidR="00D20C35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перший гострий період та період рецидиву основного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ва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жкого захворювання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ЛЛ. </w:t>
      </w:r>
    </w:p>
    <w:p w:rsidR="00F879E9" w:rsidRPr="00966737" w:rsidRDefault="00F879E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966737">
        <w:rPr>
          <w:rFonts w:ascii="Times New Roman" w:eastAsia="MS Mincho" w:hAnsi="Times New Roman" w:cs="Times New Roman"/>
          <w:i/>
          <w:sz w:val="28"/>
          <w:szCs w:val="28"/>
        </w:rPr>
        <w:t xml:space="preserve">5.3.5.  </w:t>
      </w:r>
      <w:r w:rsidR="004E1A8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Зміна ступен</w:t>
      </w:r>
      <w:r w:rsidR="00986D69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я</w:t>
      </w:r>
      <w:r w:rsidR="004E1A8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 xml:space="preserve"> дисбіозу порожнини рота </w:t>
      </w:r>
      <w:r w:rsidR="00986D69">
        <w:rPr>
          <w:rFonts w:ascii="Times New Roman" w:eastAsia="MS Mincho" w:hAnsi="Times New Roman" w:cs="Times New Roman"/>
          <w:i/>
          <w:sz w:val="28"/>
          <w:szCs w:val="28"/>
          <w:lang w:val="uk-UA"/>
        </w:rPr>
        <w:t xml:space="preserve">в </w:t>
      </w:r>
      <w:r w:rsidR="004E1A8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 xml:space="preserve"> динаміці лікування</w:t>
      </w:r>
      <w:r w:rsidRPr="00966737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F879E9" w:rsidRPr="004E1A85" w:rsidRDefault="004E1A85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Відомо, що порожнина рота представляє собою складний та стабільний мікробіоценоз, який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є досить сприятливим середовищем для зростання та підтримання життєдіяльності мікроорганізмів. </w:t>
      </w:r>
      <w:r w:rsidR="006F7E0A">
        <w:rPr>
          <w:rFonts w:ascii="Times New Roman" w:eastAsia="MS Mincho" w:hAnsi="Times New Roman" w:cs="Times New Roman"/>
          <w:sz w:val="28"/>
          <w:szCs w:val="28"/>
          <w:lang w:val="uk-UA"/>
        </w:rPr>
        <w:t>Фізіологіч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ний мікробіоценоз організм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людини формується з моменту народження дитини, підтримується протягом всього її життя та складається </w:t>
      </w:r>
      <w:r w:rsidR="001171FE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6F7E0A">
        <w:rPr>
          <w:rFonts w:ascii="Times New Roman" w:eastAsia="MS Mincho" w:hAnsi="Times New Roman" w:cs="Times New Roman"/>
          <w:sz w:val="28"/>
          <w:szCs w:val="28"/>
          <w:lang w:val="uk-UA"/>
        </w:rPr>
        <w:t>фізіологіч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ну мікробну систему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[</w:t>
      </w:r>
      <w:r w:rsidR="00061A6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>267,</w:t>
      </w:r>
      <w:r w:rsidR="00937E5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061A6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>268,</w:t>
      </w:r>
      <w:r w:rsidR="00937E5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061A6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>269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].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Домінуюче місце мікроорганізмів,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що мешкають у ротовій порожнині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як за видовим різноманіттям, так і за кількістю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посідають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бакт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рії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Мікрофлора порожнини рота розселена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декількох біотопах з однотип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вими умовами середовища, зайнятих певним біоценозом. Одним з основних бі</w:t>
      </w:r>
      <w:r w:rsidR="00261D3A">
        <w:rPr>
          <w:rFonts w:ascii="Times New Roman" w:eastAsia="MS Mincho" w:hAnsi="Times New Roman" w:cs="Times New Roman"/>
          <w:sz w:val="28"/>
          <w:szCs w:val="28"/>
          <w:lang w:val="uk-UA"/>
        </w:rPr>
        <w:t>отопів є слизова оболонка порож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</w:t>
      </w:r>
      <w:r w:rsidR="00261D3A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 рота, яка через свою обширність має найваріабельніший склад мікрофлори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грамнегативна анаеробна флора, стр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птококи, облігатні анаероби та коринебактерії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F879E9" w:rsidRPr="00966737" w:rsidRDefault="004E1A85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Однак при порушенні </w:t>
      </w:r>
      <w:r w:rsidR="006F7E0A">
        <w:rPr>
          <w:rFonts w:ascii="Times New Roman" w:eastAsia="MS Mincho" w:hAnsi="Times New Roman" w:cs="Times New Roman"/>
          <w:sz w:val="28"/>
          <w:szCs w:val="28"/>
          <w:lang w:val="uk-UA"/>
        </w:rPr>
        <w:t>фізіологіч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ної мікробної системи розвивається дисбіоз, характерною ознакою якого є зниження кількості пробіотичних ба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терій у порожнині рота на </w:t>
      </w:r>
      <w:r w:rsidR="001171FE">
        <w:rPr>
          <w:rFonts w:ascii="Times New Roman" w:eastAsia="MS Mincho" w:hAnsi="Times New Roman" w:cs="Times New Roman"/>
          <w:sz w:val="28"/>
          <w:szCs w:val="28"/>
          <w:lang w:val="uk-UA"/>
        </w:rPr>
        <w:t>тлі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 збільшення умовно-патогенної мікрофлори та підвищення рівня її інтоксикації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Дисбіоз порожнини рота призводить до 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рушення колонізаційної резистентності порожнини рота, розлад</w:t>
      </w:r>
      <w:r w:rsidR="00261D3A">
        <w:rPr>
          <w:rFonts w:ascii="Times New Roman" w:eastAsia="MS Mincho" w:hAnsi="Times New Roman" w:cs="Times New Roman"/>
          <w:sz w:val="28"/>
          <w:szCs w:val="28"/>
          <w:lang w:val="uk-UA"/>
        </w:rPr>
        <w:t>ів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місцевого імунітету, що</w:t>
      </w:r>
      <w:r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тягне за собою розвиток та прогресування таких стоматологі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них захворювань, як гінгівіт, пародонтит, стомати</w:t>
      </w:r>
      <w:r w:rsidR="00261D3A">
        <w:rPr>
          <w:rFonts w:ascii="Times New Roman" w:eastAsia="MS Mincho" w:hAnsi="Times New Roman" w:cs="Times New Roman"/>
          <w:sz w:val="28"/>
          <w:szCs w:val="28"/>
          <w:lang w:val="uk-UA"/>
        </w:rPr>
        <w:t>ти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інші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Ризик розвитку вищезазначених станів напряму залежить від ступен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дисбіозу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класифікація 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В.В. Хазаново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ї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та співавт</w:t>
      </w:r>
      <w:r w:rsidR="00F879E9" w:rsidRPr="004E1A8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., 1996).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Так, дисбіоз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I</w:t>
      </w:r>
      <w:r w:rsidR="00937E5A"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II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ступен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характеризується виявленням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1</w:t>
      </w:r>
      <w:r w:rsidR="00937E5A"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патогенних видів бактерій на </w:t>
      </w:r>
      <w:r w:rsidR="001171FE">
        <w:rPr>
          <w:rFonts w:ascii="Times New Roman" w:eastAsia="MS Mincho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 нормального вмісту або 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>д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якого </w:t>
      </w:r>
      <w:r w:rsidR="00696893" w:rsidRPr="00DC4CC3">
        <w:rPr>
          <w:rFonts w:ascii="Times New Roman" w:eastAsia="MS Mincho" w:hAnsi="Times New Roman" w:cs="Times New Roman"/>
          <w:sz w:val="28"/>
          <w:szCs w:val="28"/>
          <w:lang w:val="uk-UA"/>
        </w:rPr>
        <w:t>зменшення титру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нормальної мікрофлори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Виявлення патогенної мон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культури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значній кількості на </w:t>
      </w:r>
      <w:r w:rsidR="001171FE">
        <w:rPr>
          <w:rFonts w:ascii="Times New Roman" w:eastAsia="MS Mincho" w:hAnsi="Times New Roman" w:cs="Times New Roman"/>
          <w:sz w:val="28"/>
          <w:szCs w:val="28"/>
          <w:lang w:val="uk-UA"/>
        </w:rPr>
        <w:t>тл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 різкого зменшення чисельності або повної відсутності </w:t>
      </w:r>
      <w:r w:rsidR="006F7E0A">
        <w:rPr>
          <w:rFonts w:ascii="Times New Roman" w:eastAsia="MS Mincho" w:hAnsi="Times New Roman" w:cs="Times New Roman"/>
          <w:sz w:val="28"/>
          <w:szCs w:val="28"/>
          <w:lang w:val="uk-UA"/>
        </w:rPr>
        <w:t>фізіологіч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ної мікрофлори розглядається як дисбіоз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III</w:t>
      </w:r>
      <w:r w:rsidR="00F879E9" w:rsidRP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>ступен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 w:rsidR="00F879E9" w:rsidRP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Наявність асоціацій патогенних видів бактерій із дріжджоподібними грибами оцінюють як дисбіоз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IV</w:t>
      </w:r>
      <w:r w:rsidR="00F879E9" w:rsidRP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>ступен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 w:rsidR="00F879E9" w:rsidRP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>Дисбіоз порожнини рота може бути у трьох формах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696893">
        <w:rPr>
          <w:rFonts w:ascii="Times New Roman" w:eastAsia="MS Mincho" w:hAnsi="Times New Roman" w:cs="Times New Roman"/>
          <w:sz w:val="28"/>
          <w:szCs w:val="28"/>
          <w:lang w:val="uk-UA"/>
        </w:rPr>
        <w:t>компенсована, субкомпенсована та декомпенсована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79E9" w:rsidRPr="00966737" w:rsidRDefault="00696893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При вивченні ступен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дисбіозу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рота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із запальними захворюваннями слизової оболонки, що протікають на фоні гострого лімфо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ластного лейкозу, які знаходяться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першому гострому періоді та в періоді рецидиву, у групах порівняння встановлена позитивна динаміка. Так, вже ч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рез місяць після застосуваня лізоци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ого еліксиру ступінь дисбіозу зни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з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вся у </w:t>
      </w:r>
      <w:r w:rsidR="00F879E9" w:rsidRP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рази, а у групі дітей, стоматологічні захворювання яких протікали на фоні ГЛЛ, що знаходився у періоді ремісії </w:t>
      </w:r>
      <w:r w:rsidR="00F879E9" w:rsidRP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F879E9" w:rsidRP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2,3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рази, досягаючи максим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льного зниження через </w:t>
      </w:r>
      <w:r w:rsidR="00F879E9" w:rsidRP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місяці</w:t>
      </w:r>
      <w:r w:rsidR="00F879E9" w:rsidRPr="0069689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При цьому через </w:t>
      </w:r>
      <w:r w:rsidR="00F879E9" w:rsidRPr="00BD2D2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місяців дослідження ци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ф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рові значення, </w:t>
      </w:r>
      <w:r w:rsidRPr="00937E5A">
        <w:rPr>
          <w:rFonts w:ascii="Times New Roman" w:eastAsia="MS Mincho" w:hAnsi="Times New Roman" w:cs="Times New Roman"/>
          <w:sz w:val="28"/>
          <w:szCs w:val="28"/>
          <w:lang w:val="uk-UA"/>
        </w:rPr>
        <w:t>що характеризують ступінь дисбіозу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рота, пост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пово починали збільшуватися, та в кінці дослідження вони складали</w:t>
      </w:r>
      <w:r w:rsidR="00937E5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5,03±</w:t>
      </w:r>
      <w:r w:rsidR="00F879E9" w:rsidRPr="00BD2D2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0,27 –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 першому гострому періоді рецидив</w:t>
      </w:r>
      <w:r w:rsidR="00986D69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основного захворювання та </w:t>
      </w:r>
      <w:r w:rsidR="00F879E9" w:rsidRPr="00BD2D2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4,72±0,24 –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 періоді ремісії, що свідчить про короткочасний, але вираж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ний антимікробний ефект лізоцим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ого ополіскувача. Однак цифрові зн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чення показника, що вивчається, </w:t>
      </w:r>
      <w:r w:rsidR="001171FE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кінці дослідження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групі порівняння </w:t>
      </w:r>
      <w:r w:rsidR="001171FE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4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та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5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разів перевищують його нормальне значення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(табл. 9</w:t>
      </w:r>
      <w:r w:rsidR="00937E5A"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10,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додаток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). </w:t>
      </w:r>
    </w:p>
    <w:p w:rsidR="00F879E9" w:rsidRPr="001505BC" w:rsidRDefault="001505BC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Склад</w:t>
      </w:r>
      <w:r w:rsidR="007B74F9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ється думка, що зубний еліксир, що вивчається, нормалізує мі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робіоценоз у порожнині рота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групи порівняння не лише за рахунок зменшення активності уреази, але й за рахунок збільшення активності ліз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циму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Разом з тим, обидва способи лікування мали вира</w:t>
      </w:r>
      <w:r w:rsidR="007B74F9">
        <w:rPr>
          <w:rFonts w:ascii="Times New Roman" w:eastAsia="MS Mincho" w:hAnsi="Times New Roman" w:cs="Times New Roman"/>
          <w:sz w:val="28"/>
          <w:szCs w:val="28"/>
          <w:lang w:val="uk-UA"/>
        </w:rPr>
        <w:t>же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ний та пролонг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ваний ефект, який проявлявся пригніченням патогенної мікрофлори поро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ж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нини рота, зниженням рівня уреази та збільшенням лізоциму</w:t>
      </w:r>
      <w:r w:rsidR="00F879E9" w:rsidRPr="001505B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</w:p>
    <w:p w:rsidR="00C06492" w:rsidRPr="001505BC" w:rsidRDefault="001505BC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Аналіз отриманих результатів при вивченні ступен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дисбіозу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ж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нині рота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основної групи, у яких були діагностовані генералізована форма хронічного катарального гінгівіту та виразково-</w:t>
      </w:r>
      <w:r w:rsidR="00797B32">
        <w:rPr>
          <w:rFonts w:ascii="Times New Roman" w:eastAsia="MS Mincho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ний стоматит у першому гострому періоді та в періоді рецидиву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острого лімфобластного лейкозу, дозволив встановити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IV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ступінь дисбіозу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декомпенсованій формі на початку лікування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Так, вихідні дані </w:t>
      </w:r>
      <w:r w:rsidR="0067726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основній групі, яка лікувалася </w:t>
      </w:r>
      <w:r w:rsidR="0050208C">
        <w:rPr>
          <w:rFonts w:ascii="Times New Roman" w:eastAsia="MS Mincho" w:hAnsi="Times New Roman" w:cs="Times New Roman"/>
          <w:sz w:val="28"/>
          <w:szCs w:val="28"/>
          <w:lang w:val="uk-UA"/>
        </w:rPr>
        <w:t>за допомогою комбінованої терапі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ї шляхом застосування кверцетин</w:t>
      </w:r>
      <w:r w:rsidR="007B74F9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ого мукозального гелю, а також гелю, що містить велику кількість поліфенолів, суміш бісульфата алкалоїдів 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сангвінарину та хелеритрину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 препарат антио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сидантних вітамінів та їхні комбінації з пробіотичним та протигрибковим препаратами, у </w:t>
      </w:r>
      <w:r w:rsidR="00F879E9" w:rsidRPr="001505B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разів перевищували норму.</w:t>
      </w:r>
      <w:r w:rsidR="00F879E9" w:rsidRPr="001505B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F879E9" w:rsidRDefault="004D24B6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Однак, вже через місяць спостережень цифрові дані показника, що 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вчається, після проведення лікувальних заходів знизилися у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1,8 раз</w:t>
      </w:r>
      <w:r w:rsidR="00D92490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але 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лишалися у два рази вищ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ими від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його нормальних значень. При цьому ма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симальне зниження цифрових значень, які характеризували ступінь дисбіозу, були встановлені через 3 місяці досліджень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Однак, не дивлячись на те, що ступінь дисбіозу через півроку та в кінці дослідження був достовірно нижче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(р </w:t>
      </w:r>
      <w:r w:rsidR="002D2D8F">
        <w:rPr>
          <w:rFonts w:ascii="Times New Roman" w:eastAsia="MS Mincho" w:hAnsi="Times New Roman" w:cs="Times New Roman"/>
          <w:sz w:val="28"/>
          <w:szCs w:val="28"/>
        </w:rPr>
        <w:t>&lt;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0,05)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порівняно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своїми вихідними даними на початку дослідження, 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>й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>го абсолютні значення у 3 рази перевищували нормальні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7410C0">
        <w:rPr>
          <w:rFonts w:ascii="Times New Roman" w:eastAsia="MS Mincho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 5.</w:t>
      </w:r>
      <w:r w:rsidR="00D93904">
        <w:rPr>
          <w:rFonts w:ascii="Times New Roman" w:eastAsia="MS Mincho" w:hAnsi="Times New Roman" w:cs="Times New Roman"/>
          <w:sz w:val="28"/>
          <w:szCs w:val="28"/>
          <w:lang w:val="uk-UA"/>
        </w:rPr>
        <w:t>17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). 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Тому звертає на себе увагу той факт, що ступінь дисбіозу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рота зал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>шається достатньо високим та напряму залежить від період</w:t>
      </w:r>
      <w:r w:rsidR="00591B8A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перебігу осно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ного захворювання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="00591B8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гострого 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>лімфобластного лейкозу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79E9" w:rsidRPr="00F7666B" w:rsidRDefault="00F7666B" w:rsidP="00F7666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Подібна тенденція зміни ступеня дисбіозу в порожнині рота була вст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новлена й у дітей із запальними захворюваннями СОПР, які протікали в пер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од ремісії основного захворювання крові. Аналіз змін ступеня дисбіозу під впливом розроблених лікувально-профілактичних заходів, що проводяться, показав, що в дітей основної групи показник, яки вивчається, суттєво зниж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вався після застосування комбінації кверцетиновмісного мукозального гелю та пробіотичного препарату.</w:t>
      </w:r>
    </w:p>
    <w:p w:rsidR="00F879E9" w:rsidRPr="00966737" w:rsidRDefault="00F218F7" w:rsidP="00F879E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218F7">
        <w:rPr>
          <w:rFonts w:ascii="Times New Roman" w:eastAsia="MS Mincho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145473"/>
            <wp:effectExtent l="19050" t="0" r="22225" b="0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879E9" w:rsidRPr="00966737" w:rsidRDefault="007410C0" w:rsidP="00C0649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Рис</w:t>
      </w:r>
      <w:r>
        <w:rPr>
          <w:rFonts w:ascii="Times New Roman" w:eastAsia="MS Mincho" w:hAnsi="Times New Roman" w:cs="Times New Roman"/>
          <w:sz w:val="28"/>
          <w:szCs w:val="28"/>
        </w:rPr>
        <w:t>. 5.</w:t>
      </w:r>
      <w:r w:rsidR="00D93904">
        <w:rPr>
          <w:rFonts w:ascii="Times New Roman" w:eastAsia="MS Mincho" w:hAnsi="Times New Roman" w:cs="Times New Roman"/>
          <w:sz w:val="28"/>
          <w:szCs w:val="28"/>
          <w:lang w:val="uk-UA"/>
        </w:rPr>
        <w:t>17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7B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>Динаміка ступен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дисбіозу порожнини рота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F563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ГЛЛ у першому гострому періоді та в періоді рецидиву</w:t>
      </w:r>
    </w:p>
    <w:p w:rsidR="00F879E9" w:rsidRPr="00966737" w:rsidRDefault="00F879E9" w:rsidP="00F879E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879E9" w:rsidRPr="00966737" w:rsidRDefault="00F56315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При цьому його цифрові значення на початку лікування були також вищ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ими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порівняно з їх нормальною величиною у </w:t>
      </w:r>
      <w:r w:rsidR="00F879E9" w:rsidRPr="00F56315">
        <w:rPr>
          <w:rFonts w:ascii="Times New Roman" w:eastAsia="MS Mincho" w:hAnsi="Times New Roman" w:cs="Times New Roman"/>
          <w:sz w:val="28"/>
          <w:szCs w:val="28"/>
          <w:lang w:val="uk-UA"/>
        </w:rPr>
        <w:t>6</w:t>
      </w:r>
      <w:r w:rsidR="007B74F9"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F879E9" w:rsidRPr="00F563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6,5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разів, як і </w:t>
      </w:r>
      <w:r w:rsidR="00D92490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дітей, що знаходяться на лікуванні </w:t>
      </w:r>
      <w:r w:rsidR="00D92490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першому гострому періоді та періоді рецидиву гостр</w:t>
      </w:r>
      <w:r w:rsidR="00D92490">
        <w:rPr>
          <w:rFonts w:ascii="Times New Roman" w:eastAsia="MS Mincho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D92490">
        <w:rPr>
          <w:rFonts w:ascii="Times New Roman" w:eastAsia="MS Mincho" w:hAnsi="Times New Roman" w:cs="Times New Roman"/>
          <w:sz w:val="28"/>
          <w:szCs w:val="28"/>
          <w:lang w:val="uk-UA"/>
        </w:rPr>
        <w:t>лімфобластного лейкозу</w:t>
      </w:r>
      <w:r w:rsidR="00F879E9" w:rsidRPr="00F5631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Однак через місяць після початку досл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дження зниження цифрових значень ступен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дисбіозу в основній групі скл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ло </w:t>
      </w:r>
      <w:r w:rsidR="00F879E9" w:rsidRPr="00F563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67,9%,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через три місяці</w:t>
      </w:r>
      <w:r w:rsidR="00F879E9" w:rsidRPr="00F563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 71,2%,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 в кінці дослідження, не дивлячись на незначне підвищення абсолютних цифрових значень показника, що вивч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ється, різниця з вихідними даними на початку лікування склала </w:t>
      </w:r>
      <w:r w:rsidR="00F879E9" w:rsidRPr="00F563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67,8%,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що свідчить про високий лікувальний ефект заходів, що проводяться, у даного контингенту дітей</w:t>
      </w:r>
      <w:r w:rsidR="00F879E9" w:rsidRPr="00F5631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Разом з тим,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кінці дослідження ступінь дисбіозу, хоча достовірно</w:t>
      </w:r>
      <w:r w:rsidR="00F879E9" w:rsidRPr="00F563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й відрізнявся від своїх первинних значень, але був у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рази біл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ш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им за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норм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7410C0">
        <w:rPr>
          <w:rFonts w:ascii="Times New Roman" w:eastAsia="MS Mincho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 5.1</w:t>
      </w:r>
      <w:r w:rsidR="00D93904">
        <w:rPr>
          <w:rFonts w:ascii="Times New Roman" w:eastAsia="MS Mincho" w:hAnsi="Times New Roman" w:cs="Times New Roman"/>
          <w:sz w:val="28"/>
          <w:szCs w:val="28"/>
          <w:lang w:val="uk-UA"/>
        </w:rPr>
        <w:t>8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F879E9" w:rsidRPr="00966737" w:rsidRDefault="00F879E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879E9" w:rsidRPr="00966737" w:rsidRDefault="005A7F4C" w:rsidP="00F879E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7F4C">
        <w:rPr>
          <w:rFonts w:ascii="Times New Roman" w:eastAsia="MS Mincho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145473"/>
            <wp:effectExtent l="19050" t="0" r="2222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879E9" w:rsidRPr="00966737" w:rsidRDefault="007410C0" w:rsidP="00C0649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Рис</w:t>
      </w:r>
      <w:r w:rsidR="00C4591A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5.1</w:t>
      </w:r>
      <w:r w:rsidR="00D93904">
        <w:rPr>
          <w:rFonts w:ascii="Times New Roman" w:eastAsia="MS Mincho" w:hAnsi="Times New Roman" w:cs="Times New Roman"/>
          <w:sz w:val="28"/>
          <w:szCs w:val="28"/>
          <w:lang w:val="uk-UA"/>
        </w:rPr>
        <w:t>8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C4591A">
        <w:rPr>
          <w:rFonts w:ascii="Times New Roman" w:eastAsia="MS Mincho" w:hAnsi="Times New Roman" w:cs="Times New Roman"/>
          <w:sz w:val="28"/>
          <w:szCs w:val="28"/>
          <w:lang w:val="uk-UA"/>
        </w:rPr>
        <w:t>Динаміка ступен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 w:rsidR="00C4591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дисбіозу порожнини рота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C4591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ГЛЛ у періоді ремісії</w:t>
      </w:r>
    </w:p>
    <w:p w:rsidR="00F879E9" w:rsidRPr="00966737" w:rsidRDefault="00F879E9" w:rsidP="00F879E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879E9" w:rsidRPr="00966737" w:rsidRDefault="00C4591A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Звертає на себе увагу той факт, що вихідний ступінь дисбіозу на поча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ку лікування та його величина в кінці дослідження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обох основних груп розрізняються, оскільки залежать від періоду перебігу основного захв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рювання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ГЛЛ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(р&lt;0,05).</w:t>
      </w:r>
    </w:p>
    <w:p w:rsidR="00F879E9" w:rsidRPr="00966737" w:rsidRDefault="00C4591A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Таким чином, аналіз отриманих даних свідчить про те, що застосування лізоцим</w:t>
      </w:r>
      <w:r w:rsidR="007B74F9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ого еліксиру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групі порівняння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із запаленням у ткан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нах пародонту та СОПР, які протікали, як у перший гострий період та період рецидиву, так і в період ремісії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здійснює нормалізуючий, але короткочасний ефект, відновлюючи біоценоз у ротовій порожнині, що не є достатнім для послаблення дії умовно-патогенної мікрофлори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відміну від цього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сист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матичне проведення розроблених лікувально-профілактичних заходів із 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стосуванням кверцетин</w:t>
      </w:r>
      <w:r w:rsidR="007B74F9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ого мукозального гелю, а також його комбін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ції із гелем, що містить велику кількість поліфенолів, флавонолів, препарат антиоксидантних вітамінів, суміші бісульфату алкалоїдів 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сангвінарину та х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леритрину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 пробіотичним та протигрибковим препаратами, у більшій мірі пригнічувало активність патогенної мікрофлори порожнини рота та знижув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ло ступінь дисбіозу</w:t>
      </w:r>
      <w:r w:rsidR="00F879E9" w:rsidRPr="00C4591A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Причому ці позитивні зміни носили стабільний та трив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лий характер у всіх досліджуваних групах дітей. Однак, не дивлячись на 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зитивну динаміку лікування розробленими ЛПК, </w:t>
      </w:r>
      <w:r w:rsidR="00E31047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кінці дослідження ступінь дисбіозу перевищував його нормальні значення у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2-3 раз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При цьому вст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новлено, що ступінь дисбіозу був найвищ</w:t>
      </w:r>
      <w:r w:rsidR="007B74F9">
        <w:rPr>
          <w:rFonts w:ascii="Times New Roman" w:eastAsia="MS Mincho" w:hAnsi="Times New Roman" w:cs="Times New Roman"/>
          <w:sz w:val="28"/>
          <w:szCs w:val="28"/>
          <w:lang w:val="uk-UA"/>
        </w:rPr>
        <w:t>им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 дітей у першому гострому 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ріоді та в періоді рецидиву ГЛЛ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06492" w:rsidRPr="00966737" w:rsidRDefault="00C06492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F879E9" w:rsidRPr="00DA5B9B" w:rsidRDefault="00F879E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DA5B9B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5.4. </w:t>
      </w:r>
      <w:r w:rsidR="003805CB" w:rsidRPr="00DA5B9B">
        <w:rPr>
          <w:rFonts w:ascii="Times New Roman" w:eastAsia="MS Mincho" w:hAnsi="Times New Roman" w:cs="Times New Roman"/>
          <w:b/>
          <w:i/>
          <w:sz w:val="28"/>
          <w:szCs w:val="28"/>
          <w:lang w:val="uk-UA"/>
        </w:rPr>
        <w:t xml:space="preserve">Динаміка зарядових станів клітин букального епітелію </w:t>
      </w:r>
      <w:r w:rsidR="00284E3C">
        <w:rPr>
          <w:rFonts w:ascii="Times New Roman" w:eastAsia="MS Mincho" w:hAnsi="Times New Roman" w:cs="Times New Roman"/>
          <w:b/>
          <w:i/>
          <w:sz w:val="28"/>
          <w:szCs w:val="28"/>
          <w:lang w:val="uk-UA"/>
        </w:rPr>
        <w:t>в</w:t>
      </w:r>
      <w:r w:rsidR="003805CB" w:rsidRPr="00DA5B9B">
        <w:rPr>
          <w:rFonts w:ascii="Times New Roman" w:eastAsia="MS Mincho" w:hAnsi="Times New Roman" w:cs="Times New Roman"/>
          <w:b/>
          <w:i/>
          <w:sz w:val="28"/>
          <w:szCs w:val="28"/>
          <w:lang w:val="uk-UA"/>
        </w:rPr>
        <w:t xml:space="preserve"> дітей під дією лікувально-профілактичних комплексів</w:t>
      </w:r>
      <w:r w:rsidRPr="00DA5B9B">
        <w:rPr>
          <w:rFonts w:ascii="Times New Roman" w:eastAsia="MS Mincho" w:hAnsi="Times New Roman" w:cs="Times New Roman"/>
          <w:b/>
          <w:i/>
          <w:sz w:val="28"/>
          <w:szCs w:val="28"/>
        </w:rPr>
        <w:t>.</w:t>
      </w:r>
    </w:p>
    <w:p w:rsidR="00F879E9" w:rsidRPr="00966737" w:rsidRDefault="003805CB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5B9B">
        <w:rPr>
          <w:rFonts w:ascii="Times New Roman" w:eastAsia="MS Mincho" w:hAnsi="Times New Roman" w:cs="Times New Roman"/>
          <w:sz w:val="28"/>
          <w:szCs w:val="28"/>
          <w:lang w:val="uk-UA"/>
        </w:rPr>
        <w:t>Зарядовий стан клітин букального епітелію (КБЕ) відповідає рівню адаптаційно-компенсаторних реакцій в організмі дитини та, як наслідок, рі</w:t>
      </w:r>
      <w:r w:rsidRPr="00DA5B9B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Pr="00DA5B9B">
        <w:rPr>
          <w:rFonts w:ascii="Times New Roman" w:eastAsia="MS Mincho" w:hAnsi="Times New Roman" w:cs="Times New Roman"/>
          <w:sz w:val="28"/>
          <w:szCs w:val="28"/>
          <w:lang w:val="uk-UA"/>
        </w:rPr>
        <w:t>ню неспецифічної загальної та місцевої резистентності. Результати досл</w:t>
      </w:r>
      <w:r w:rsidRPr="00DA5B9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Pr="00DA5B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дження зарядового стану КБЕ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Pr="00DA5B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дітей, що мають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DC4CC3" w:rsidRPr="00DC4CC3">
        <w:rPr>
          <w:rFonts w:ascii="Times New Roman" w:eastAsia="MS Mincho" w:hAnsi="Times New Roman" w:cs="Times New Roman"/>
          <w:sz w:val="28"/>
          <w:szCs w:val="28"/>
          <w:lang w:val="uk-UA"/>
        </w:rPr>
        <w:t>стома</w:t>
      </w:r>
      <w:r w:rsidRPr="00DC4CC3">
        <w:rPr>
          <w:rFonts w:ascii="Times New Roman" w:eastAsia="MS Mincho" w:hAnsi="Times New Roman" w:cs="Times New Roman"/>
          <w:sz w:val="28"/>
          <w:szCs w:val="28"/>
          <w:lang w:val="uk-UA"/>
        </w:rPr>
        <w:t>тологічну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патологію на фоні ГЛЛ, представлені у таблицях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5.7</w:t>
      </w:r>
      <w:r w:rsidR="00DA5B9B"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5.8. </w:t>
      </w:r>
    </w:p>
    <w:p w:rsidR="00F879E9" w:rsidRPr="00966737" w:rsidRDefault="003805CB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Аналіз отриманих даних</w:t>
      </w:r>
      <w:r w:rsidR="00DE51C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встановив позитивний рівень фу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</w:t>
      </w:r>
      <w:r w:rsidR="00DE51C8"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ціона</w:t>
      </w:r>
      <w:r w:rsidR="00E47BF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льної активності КБЕ порівняно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 нормою </w:t>
      </w:r>
      <w:r w:rsidR="00E47BF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E47BF2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сіх досліджуваних групах дітей із 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палювальними захворюваннями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 порожнині рота на </w:t>
      </w:r>
      <w:r w:rsidR="00E47BF2">
        <w:rPr>
          <w:rFonts w:ascii="Times New Roman" w:eastAsia="MS Mincho" w:hAnsi="Times New Roman" w:cs="Times New Roman"/>
          <w:sz w:val="28"/>
          <w:szCs w:val="28"/>
          <w:lang w:val="uk-UA"/>
        </w:rPr>
        <w:t>тл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і ГЛЛ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як у перший гострий період та в період рецидиву, так і в період ремісії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</w:t>
      </w:r>
      <w:r w:rsidR="00DA5B9B">
        <w:rPr>
          <w:rFonts w:ascii="Times New Roman" w:eastAsia="MS Mincho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 це свідчить низький відсоток рухливих ядер КБЕ та мала амплітуда їх зміщення</w:t>
      </w:r>
      <w:r w:rsidR="00F879E9" w:rsidRPr="003805CB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Разом з тим, ще у більшій мірі знижена амплітуда зміщення плазмолем, а відповідно, й співвідношення </w:t>
      </w:r>
      <w:r w:rsidR="00F879E9" w:rsidRPr="002454FC">
        <w:rPr>
          <w:rFonts w:ascii="Times New Roman" w:eastAsia="MS Mincho" w:hAnsi="Times New Roman" w:cs="Times New Roman"/>
          <w:sz w:val="28"/>
          <w:szCs w:val="28"/>
          <w:lang w:val="uk-UA"/>
        </w:rPr>
        <w:t>Апл/Ая</w:t>
      </w:r>
      <w:r w:rsidR="00F879E9" w:rsidRPr="003805C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 1,03.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При цьому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основної групи, які мали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рота виразковий або </w:t>
      </w:r>
      <w:r w:rsidR="00797B32">
        <w:rPr>
          <w:rFonts w:ascii="Times New Roman" w:eastAsia="MS Mincho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ний стоматит, ці показники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явилися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найнижчими, що свідчить, на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нашу думку, про стресову реакцію організму та нестабільність адаптаційних процесів у порожнині рота у пе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ший гострий період та в період рецидиву основного захворювання крові. Так, амплітуда ядер складала </w:t>
      </w:r>
      <w:r w:rsidR="00DA5B9B">
        <w:rPr>
          <w:rFonts w:ascii="Times New Roman" w:eastAsia="MS Mincho" w:hAnsi="Times New Roman" w:cs="Times New Roman"/>
          <w:sz w:val="28"/>
          <w:szCs w:val="28"/>
        </w:rPr>
        <w:t>1,22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±0,07 мкм,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амплітуда плазмолем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–</w:t>
      </w:r>
      <w:r w:rsidR="00DA5B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1,26</w:t>
      </w:r>
      <w:r w:rsidR="00DA5B9B">
        <w:rPr>
          <w:rFonts w:ascii="Times New Roman" w:eastAsia="MS Mincho" w:hAnsi="Times New Roman" w:cs="Times New Roman"/>
          <w:sz w:val="28"/>
          <w:szCs w:val="28"/>
        </w:rPr>
        <w:t>±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0,07 мкм,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 кількість рухливих ядер дорівнювала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22,05 ±1,11%.</w:t>
      </w:r>
    </w:p>
    <w:p w:rsidR="00C06492" w:rsidRPr="00966737" w:rsidRDefault="003805CB" w:rsidP="00C0649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Розроблені нами комплекси лікувально-профілактичних заходів у дітей в обох групах спостереження ініціюють ядерно-цитоплазматичні відношення </w:t>
      </w:r>
      <w:r w:rsidR="00E47BF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клітинах, посилюючи метаболічні процеси, про що свідчить зростання </w:t>
      </w:r>
      <w:r w:rsidR="00DA5B9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разу після корекції відсотка рухливих ядер КБЕ та амплітуди їх зміщення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(табл. 5.7).</w:t>
      </w:r>
    </w:p>
    <w:p w:rsidR="00542D7B" w:rsidRDefault="003805CB" w:rsidP="00F7666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Аналіз цифрових значень змін зарядового стану КБЕ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ГЛЛ у перший гострий період та в період рецидиву через 6 місяців після початку досліджень встановив збільшення відсотк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рухливих ядер КБЕ на </w:t>
      </w:r>
      <w:r w:rsidR="00C06492" w:rsidRPr="00966737">
        <w:rPr>
          <w:rFonts w:ascii="Times New Roman" w:eastAsia="MS Mincho" w:hAnsi="Times New Roman" w:cs="Times New Roman"/>
          <w:sz w:val="28"/>
          <w:szCs w:val="28"/>
        </w:rPr>
        <w:t xml:space="preserve">24,6%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дітей основної групи після застосування розроблених ЛПЗ, що включали </w:t>
      </w:r>
      <w:r w:rsidR="002454F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себе використання кверцетин</w:t>
      </w:r>
      <w:r w:rsidR="00DA5B9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ого мукозального</w:t>
      </w:r>
      <w:r w:rsidR="00DE51C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гелю, а також його комбінації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 гелем, що містить велику кількість поліфенолів, флавонолів, 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тоцианів та катехінів, суміш сульфату алкалоїдів 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сангвінарину та хелеритр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ну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 пробіотичним та протигрибковим препаратами.</w:t>
      </w:r>
      <w:r w:rsidR="00C06492" w:rsidRPr="0096673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F7666B" w:rsidRPr="006C4CE4" w:rsidRDefault="00F7666B" w:rsidP="00F7666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Поряд з цим, відзначалася тенденція до збільшення амплітуд зміщення як ядер, так і плазмолем КБЕ, а, значить, і їхнього співвідношення в дітей 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новної групи, а збільшення заряду плазмолем у подальшому призвело до 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тимізації співвідношення амплітуд зміщення як плазмолем, так і ядер, що х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рактерно для нормального фізіологічного стану адаптаційних реакцій, поч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наючи  з  клітинного рівня</w:t>
      </w:r>
      <w:r w:rsidRPr="00F7666B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Так, у дітей основної групи через 6 місяців з 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чатку дослідження, амплітуди зміщення плазмолем та ядер збільшувалися на </w:t>
      </w:r>
      <w:r w:rsidRPr="006C4CE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39%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та 23% відповідно</w:t>
      </w:r>
      <w:r w:rsidRPr="006C4CE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</w:p>
    <w:p w:rsidR="00F7666B" w:rsidRDefault="00F7666B" w:rsidP="00F7666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При цьому в дітей цієї групи в кінці досліджень зарядовий стан КБЕ досягав практично нормальних значень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 (табл. 5.7).</w:t>
      </w:r>
    </w:p>
    <w:p w:rsidR="00F7666B" w:rsidRDefault="00F7666B" w:rsidP="00F7666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 групі порівняння через 6 місяців після застосування лізоцимвмісного ополіскувача електрофоретичні показники КБЕ дещо покращилися, однак не досягли нормальних значень у соматично здорових дітей. У подальшому спостерігалося зниження електрофоретичної активності клітин та їхні пока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ники практично наближалися до вихідних значень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 (p &gt; 0,05).</w:t>
      </w:r>
    </w:p>
    <w:p w:rsidR="00F7666B" w:rsidRPr="00F7666B" w:rsidRDefault="00F7666B" w:rsidP="00F7666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Через рік спостережень цифрові значення відсотка рухливих ядер КБЕ у дітей основної групи продовжували збільшуватися та були на 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27,7%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біл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шими порівняно із вихідними даними на початку проведення </w:t>
      </w:r>
      <w:r w:rsidRPr="00966737">
        <w:rPr>
          <w:rFonts w:ascii="Times New Roman" w:eastAsia="MS Mincho" w:hAnsi="Times New Roman" w:cs="Times New Roman"/>
          <w:sz w:val="28"/>
          <w:szCs w:val="28"/>
        </w:rPr>
        <w:t>ЛП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</w:t>
      </w:r>
      <w:r w:rsidRPr="0096673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7666B" w:rsidRDefault="00F7666B" w:rsidP="00F7666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F7666B" w:rsidRPr="00F7666B" w:rsidRDefault="00F7666B" w:rsidP="00F7666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F879E9" w:rsidRPr="00966737" w:rsidRDefault="00F879E9" w:rsidP="00F879E9">
      <w:pPr>
        <w:spacing w:after="0" w:line="360" w:lineRule="auto"/>
        <w:ind w:firstLine="708"/>
        <w:jc w:val="right"/>
        <w:rPr>
          <w:rFonts w:ascii="Times New Roman" w:eastAsia="MS Mincho" w:hAnsi="Times New Roman" w:cs="Times New Roman"/>
          <w:i/>
          <w:sz w:val="28"/>
          <w:szCs w:val="28"/>
        </w:rPr>
      </w:pPr>
      <w:r w:rsidRPr="00966737">
        <w:rPr>
          <w:rFonts w:ascii="Times New Roman" w:eastAsia="MS Mincho" w:hAnsi="Times New Roman" w:cs="Times New Roman"/>
          <w:i/>
          <w:sz w:val="28"/>
          <w:szCs w:val="28"/>
        </w:rPr>
        <w:lastRenderedPageBreak/>
        <w:t>Таблиц</w:t>
      </w:r>
      <w:r w:rsidR="003805CB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eastAsia="MS Mincho" w:hAnsi="Times New Roman" w:cs="Times New Roman"/>
          <w:i/>
          <w:sz w:val="28"/>
          <w:szCs w:val="28"/>
        </w:rPr>
        <w:t xml:space="preserve"> 5.7</w:t>
      </w:r>
    </w:p>
    <w:p w:rsidR="00F879E9" w:rsidRPr="00966737" w:rsidRDefault="003805CB" w:rsidP="00F879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Динаміка змін зарядового стану КБЕ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ГЛЛ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br/>
        <w:t>у перший гострий період та в період рецидиву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, (М ± m)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135"/>
        <w:gridCol w:w="2482"/>
        <w:gridCol w:w="1490"/>
        <w:gridCol w:w="1490"/>
        <w:gridCol w:w="1490"/>
      </w:tblGrid>
      <w:tr w:rsidR="00F879E9" w:rsidRPr="00966737" w:rsidTr="00684D83">
        <w:trPr>
          <w:trHeight w:val="1303"/>
        </w:trPr>
        <w:tc>
          <w:tcPr>
            <w:tcW w:w="635" w:type="dxa"/>
            <w:vMerge w:val="restart"/>
            <w:shd w:val="clear" w:color="auto" w:fill="auto"/>
            <w:textDirection w:val="btLr"/>
            <w:vAlign w:val="center"/>
          </w:tcPr>
          <w:p w:rsidR="00F879E9" w:rsidRPr="00966737" w:rsidRDefault="006C4CE4" w:rsidP="006C4CE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Показники зарядового стану КБЕ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:rsidR="00F879E9" w:rsidRPr="00966737" w:rsidRDefault="006C4CE4" w:rsidP="006C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Періоди спостереження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6C4CE4" w:rsidP="006C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Вихідні дані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6C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через 6 м</w:t>
            </w:r>
            <w:r w:rsidR="006C4C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сяц</w:t>
            </w:r>
            <w:r w:rsidR="006C4C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6C4CE4" w:rsidRDefault="00F879E9" w:rsidP="006C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через 1 </w:t>
            </w:r>
            <w:r w:rsidR="006C4C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F879E9" w:rsidRPr="00966737" w:rsidTr="00684D83">
        <w:trPr>
          <w:trHeight w:val="691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F879E9" w:rsidRPr="00966737" w:rsidRDefault="006C4CE4" w:rsidP="006C4CE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Рухливі ядра</w:t>
            </w:r>
            <w:r w:rsidR="00F879E9"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6C4CE4" w:rsidRDefault="006C4CE4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22,08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23,17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±1,16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22,73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±1,15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</w:tr>
      <w:tr w:rsidR="00F879E9" w:rsidRPr="00966737" w:rsidTr="00684D83">
        <w:trPr>
          <w:trHeight w:val="1250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966737" w:rsidRDefault="00F879E9" w:rsidP="006C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основна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22,05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±1,11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27,52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±1,38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28,16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±1,41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684D83">
        <w:trPr>
          <w:trHeight w:val="691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F879E9" w:rsidRPr="00966737" w:rsidRDefault="006C4CE4" w:rsidP="006C4CE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Амплітуда ядер</w:t>
            </w:r>
            <w:r w:rsidR="00F879E9"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6C4CE4" w:rsidRDefault="006C4CE4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1,22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1,24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1,23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</w:tr>
      <w:tr w:rsidR="00F879E9" w:rsidRPr="00966737" w:rsidTr="00684D83">
        <w:trPr>
          <w:trHeight w:val="691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основна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1,21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±0,06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1,49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±0,08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1,48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±0,08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684D83">
        <w:trPr>
          <w:trHeight w:val="691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F879E9" w:rsidRPr="00966737" w:rsidRDefault="006C4CE4" w:rsidP="006C4CE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Амплітуда плазмолем</w:t>
            </w:r>
            <w:r w:rsidR="00F879E9"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6C4CE4" w:rsidRDefault="006C4CE4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1,36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1,31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1,29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</w:tr>
      <w:tr w:rsidR="00F879E9" w:rsidRPr="00966737" w:rsidTr="00684D83">
        <w:trPr>
          <w:trHeight w:val="1302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6C4CE4" w:rsidRDefault="006C4CE4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1,35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1,88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±0,10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1,65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±0,09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684D83">
        <w:trPr>
          <w:trHeight w:val="691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F879E9" w:rsidRPr="00966737" w:rsidRDefault="00F879E9" w:rsidP="00C064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FC">
              <w:rPr>
                <w:rFonts w:ascii="Times New Roman" w:eastAsia="Calibri" w:hAnsi="Times New Roman" w:cs="Times New Roman"/>
                <w:sz w:val="28"/>
                <w:szCs w:val="28"/>
              </w:rPr>
              <w:t>Апл/Ая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6C4CE4" w:rsidRDefault="006C4CE4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1,05</w:t>
            </w:r>
          </w:p>
        </w:tc>
      </w:tr>
      <w:tr w:rsidR="00F879E9" w:rsidRPr="00966737" w:rsidTr="00684D83">
        <w:trPr>
          <w:trHeight w:val="691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6C4CE4" w:rsidRDefault="006C4CE4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C06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1,11</w:t>
            </w:r>
          </w:p>
        </w:tc>
      </w:tr>
    </w:tbl>
    <w:p w:rsidR="00F879E9" w:rsidRPr="00966737" w:rsidRDefault="006C4CE4" w:rsidP="00DA5B9B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Примітки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: р </w:t>
      </w:r>
      <w:r w:rsidR="00DA5B9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; р</w:t>
      </w:r>
      <w:r w:rsidR="00F879E9" w:rsidRPr="00966737">
        <w:rPr>
          <w:rFonts w:ascii="Times New Roman" w:eastAsia="MS Mincho" w:hAnsi="Times New Roman" w:cs="Times New Roman"/>
          <w:sz w:val="28"/>
          <w:szCs w:val="28"/>
          <w:vertAlign w:val="subscript"/>
        </w:rPr>
        <w:t>1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A5B9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няння</w:t>
      </w:r>
    </w:p>
    <w:p w:rsidR="00F879E9" w:rsidRPr="00966737" w:rsidRDefault="00F879E9" w:rsidP="00F7666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66737">
        <w:rPr>
          <w:rFonts w:ascii="Times New Roman" w:eastAsia="MS Mincho" w:hAnsi="Times New Roman" w:cs="Times New Roman"/>
          <w:sz w:val="28"/>
          <w:szCs w:val="28"/>
        </w:rPr>
        <w:br/>
      </w:r>
      <w:r w:rsidR="006C4CE4">
        <w:rPr>
          <w:rFonts w:ascii="Times New Roman" w:eastAsia="MS Mincho" w:hAnsi="Times New Roman" w:cs="Times New Roman"/>
          <w:sz w:val="28"/>
          <w:szCs w:val="28"/>
          <w:lang w:val="uk-UA"/>
        </w:rPr>
        <w:t>Разом з тим, ві</w:t>
      </w:r>
      <w:r w:rsidR="00DA5B9B">
        <w:rPr>
          <w:rFonts w:ascii="Times New Roman" w:eastAsia="MS Mincho" w:hAnsi="Times New Roman" w:cs="Times New Roman"/>
          <w:sz w:val="28"/>
          <w:szCs w:val="28"/>
          <w:lang w:val="uk-UA"/>
        </w:rPr>
        <w:t>дзначалася тако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>ж</w:t>
      </w:r>
      <w:r w:rsidR="00DA5B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тенденція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до збільшення амплітуд зміщення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як ядер, так і плазмолем КБЕ, а, значить, і їхнього співвідношення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д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>сліджуваної групи. При цьому амплітуди зміщення ядер та плазмолем збіл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шувалися і в кінці спостереження були на 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22,3% 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>та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 22,2% 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>більшими за пе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>р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винні значення, а 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Апл/Ая  </w:t>
      </w:r>
      <w:r w:rsidR="000B2820">
        <w:rPr>
          <w:rFonts w:ascii="Times New Roman" w:eastAsia="MS Mincho" w:hAnsi="Times New Roman" w:cs="Times New Roman"/>
          <w:sz w:val="28"/>
          <w:szCs w:val="28"/>
          <w:lang w:val="uk-UA"/>
        </w:rPr>
        <w:t>складала</w:t>
      </w:r>
      <w:r w:rsidRPr="00966737">
        <w:rPr>
          <w:rFonts w:ascii="Times New Roman" w:eastAsia="MS Mincho" w:hAnsi="Times New Roman" w:cs="Times New Roman"/>
          <w:sz w:val="28"/>
          <w:szCs w:val="28"/>
        </w:rPr>
        <w:t xml:space="preserve"> 1,11.</w:t>
      </w:r>
    </w:p>
    <w:p w:rsidR="00F879E9" w:rsidRPr="00966737" w:rsidRDefault="000B2820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Однак у групі порівняння, де застосовувався лише лізоцим</w:t>
      </w:r>
      <w:r w:rsidR="00DA5B9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ий ополіскувач, було встановлен</w:t>
      </w:r>
      <w:r w:rsidR="00B337C9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зниження електрофоретичної активності кл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тин та їхні показники практично наближалися до вихідних значень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(p &gt; 0,05). </w:t>
      </w:r>
    </w:p>
    <w:p w:rsidR="00F879E9" w:rsidRPr="000B2820" w:rsidRDefault="000B2820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Аналізуючи отримані результати цифрових значень, що характериз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ють рівень фукнціональної активності КБЕ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нами було встановлен</w:t>
      </w:r>
      <w:r w:rsidR="002D71AC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що </w:t>
      </w:r>
      <w:r w:rsidR="00E47BF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тей з ГХКГ та стоматитом, які протікали на </w:t>
      </w:r>
      <w:r w:rsidR="00E47BF2">
        <w:rPr>
          <w:rFonts w:ascii="Times New Roman" w:eastAsia="MS Mincho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 ГЛЛ у період ремісії, він був знижений. Про це свідчив низький відсоток рухливих ядер КБЕ та мала ам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літуда їх зміщення. При цьому амплітуда зміщення плазмолем, а відповідно, й співвідношення </w:t>
      </w:r>
      <w:r w:rsidR="00F879E9" w:rsidRP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Апл/Ая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було знижене ще у більшій мірі</w:t>
      </w:r>
      <w:r w:rsidR="00F879E9" w:rsidRP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 1,02.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Звертає на себе увагу той факт, що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основної групи, які мали у порожнині рота виразковий або </w:t>
      </w:r>
      <w:r w:rsidR="00797B32">
        <w:rPr>
          <w:rFonts w:ascii="Times New Roman" w:eastAsia="MS Mincho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ний стоматит, ці показники виявилися найнижчими, і це, на нашу думку, може свідчити про нестабільність адаптаційних процесів у порожнині рота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період ремісі</w:t>
      </w:r>
      <w:r w:rsidR="00DA5B9B">
        <w:rPr>
          <w:rFonts w:ascii="Times New Roman" w:eastAsia="MS Mincho" w:hAnsi="Times New Roman" w:cs="Times New Roman"/>
          <w:sz w:val="28"/>
          <w:szCs w:val="28"/>
          <w:lang w:val="uk-UA"/>
        </w:rPr>
        <w:t>ї ГЛЛ.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Так, амплітуда ядер складала </w:t>
      </w:r>
      <w:r w:rsidR="00F879E9" w:rsidRP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1,23 ± 0,06 мкм,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амплітуда плазмолем </w:t>
      </w:r>
      <w:r w:rsidR="00F879E9" w:rsidRP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–1,26 ± 0,07 мкм,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 кількість рухливих ядер була </w:t>
      </w:r>
      <w:r w:rsidR="00F879E9" w:rsidRPr="000B2820">
        <w:rPr>
          <w:rFonts w:ascii="Times New Roman" w:eastAsia="MS Mincho" w:hAnsi="Times New Roman" w:cs="Times New Roman"/>
          <w:sz w:val="28"/>
          <w:szCs w:val="28"/>
          <w:lang w:val="uk-UA"/>
        </w:rPr>
        <w:t>23,09 ± 1,16%.</w:t>
      </w:r>
    </w:p>
    <w:p w:rsidR="00C06492" w:rsidRPr="00BD2D25" w:rsidRDefault="000B2820" w:rsidP="00C0649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Застосування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</w:t>
      </w:r>
      <w:r w:rsidR="00295F8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обох групах спостереження розроблених ЛПЗ ініціює ядерно-цитоплазматичні відношення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клітинах, що, в результаті, призводить до посилення метаболічних процесів у клітинах букального еп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телію</w:t>
      </w:r>
      <w:r w:rsidR="00F879E9" w:rsidRPr="000B2820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про що свідчить зростання відразу після корекції відсотка рухливих ядер у них та амплітуди їх зміщення</w:t>
      </w:r>
      <w:r w:rsidR="00F879E9" w:rsidRP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(табл. </w:t>
      </w:r>
      <w:r w:rsidR="00F879E9" w:rsidRPr="00BD2D25">
        <w:rPr>
          <w:rFonts w:ascii="Times New Roman" w:eastAsia="MS Mincho" w:hAnsi="Times New Roman" w:cs="Times New Roman"/>
          <w:sz w:val="28"/>
          <w:szCs w:val="28"/>
          <w:lang w:val="uk-UA"/>
        </w:rPr>
        <w:t>5.8).</w:t>
      </w:r>
    </w:p>
    <w:p w:rsidR="00C06492" w:rsidRPr="00BD2D25" w:rsidRDefault="000B2820" w:rsidP="00F7666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Через 6 місяців після початку досліджень зарядового стану КБЕ у дітей з ГЛЛ у пері</w:t>
      </w:r>
      <w:r w:rsidR="00884979">
        <w:rPr>
          <w:rFonts w:ascii="Times New Roman" w:eastAsia="MS Mincho" w:hAnsi="Times New Roman" w:cs="Times New Roman"/>
          <w:sz w:val="28"/>
          <w:szCs w:val="28"/>
          <w:lang w:val="uk-UA"/>
        </w:rPr>
        <w:t>од ремісії нами було встановлено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збільшення відсотка рухливих ядер клітин, що вивчаються, на </w:t>
      </w:r>
      <w:r w:rsidR="00C06492" w:rsidRPr="00BD2D2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25,2% </w:t>
      </w:r>
      <w:r w:rsidR="00E47BF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основної групи після застос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вання розроблених ЛПЗ, що включають у себе використання кверцетин</w:t>
      </w:r>
      <w:r w:rsidR="00DA5B9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ого мукозального гелю, а також його комбінаці</w:t>
      </w:r>
      <w:r w:rsidR="00DA5B9B">
        <w:rPr>
          <w:rFonts w:ascii="Times New Roman" w:eastAsia="MS Mincho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 гелем, що містить велику кількість поліфенолів, флавонолів, антоцианів та катехінів, суміші бісульф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ту алкалоїдів 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сангвінарину та хелеритрину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 пробіотичним та протигрибк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вим препаратами</w:t>
      </w:r>
      <w:r w:rsidR="00F7666B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DA5B9B" w:rsidRDefault="00DA5B9B" w:rsidP="00B31A0C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F7666B" w:rsidRPr="00BD2D25" w:rsidRDefault="00F7666B" w:rsidP="00B31A0C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F879E9" w:rsidRPr="00966737" w:rsidRDefault="00F879E9" w:rsidP="00F879E9">
      <w:pPr>
        <w:spacing w:after="0" w:line="360" w:lineRule="auto"/>
        <w:ind w:firstLine="708"/>
        <w:jc w:val="right"/>
        <w:rPr>
          <w:rFonts w:ascii="Times New Roman" w:eastAsia="MS Mincho" w:hAnsi="Times New Roman" w:cs="Times New Roman"/>
          <w:i/>
          <w:sz w:val="28"/>
          <w:szCs w:val="28"/>
        </w:rPr>
      </w:pPr>
      <w:r w:rsidRPr="00966737">
        <w:rPr>
          <w:rFonts w:ascii="Times New Roman" w:eastAsia="MS Mincho" w:hAnsi="Times New Roman" w:cs="Times New Roman"/>
          <w:i/>
          <w:sz w:val="28"/>
          <w:szCs w:val="28"/>
        </w:rPr>
        <w:lastRenderedPageBreak/>
        <w:t>Таблиц</w:t>
      </w:r>
      <w:r w:rsidR="000B2820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я</w:t>
      </w:r>
      <w:r w:rsidRPr="00966737">
        <w:rPr>
          <w:rFonts w:ascii="Times New Roman" w:eastAsia="MS Mincho" w:hAnsi="Times New Roman" w:cs="Times New Roman"/>
          <w:i/>
          <w:sz w:val="28"/>
          <w:szCs w:val="28"/>
        </w:rPr>
        <w:t xml:space="preserve"> 5.8</w:t>
      </w:r>
    </w:p>
    <w:p w:rsidR="00F879E9" w:rsidRPr="00966737" w:rsidRDefault="000B2820" w:rsidP="00F879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Динаміка змін зарядового стану КБЕ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ГЛЛ</w:t>
      </w:r>
      <w:r w:rsidR="00146BE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146BE2">
        <w:rPr>
          <w:rFonts w:ascii="Times New Roman" w:eastAsia="MS Mincho" w:hAnsi="Times New Roman" w:cs="Times New Roman"/>
          <w:sz w:val="28"/>
          <w:szCs w:val="28"/>
          <w:lang w:val="uk-UA"/>
        </w:rPr>
        <w:br/>
        <w:t>у період ремісії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, (М±m)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135"/>
        <w:gridCol w:w="2482"/>
        <w:gridCol w:w="1490"/>
        <w:gridCol w:w="1490"/>
        <w:gridCol w:w="1490"/>
      </w:tblGrid>
      <w:tr w:rsidR="00F879E9" w:rsidRPr="00966737" w:rsidTr="00F879E9">
        <w:trPr>
          <w:trHeight w:val="1303"/>
          <w:jc w:val="center"/>
        </w:trPr>
        <w:tc>
          <w:tcPr>
            <w:tcW w:w="635" w:type="dxa"/>
            <w:vMerge w:val="restart"/>
            <w:shd w:val="clear" w:color="auto" w:fill="auto"/>
            <w:textDirection w:val="btLr"/>
            <w:vAlign w:val="center"/>
          </w:tcPr>
          <w:p w:rsidR="00F879E9" w:rsidRPr="00966737" w:rsidRDefault="00146BE2" w:rsidP="00146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Показники зарядового стану КБЕ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:rsidR="00F879E9" w:rsidRPr="00146BE2" w:rsidRDefault="00146BE2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Періоди спостереження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146BE2" w:rsidRDefault="00146BE2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Вихідні дані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146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через 6 м</w:t>
            </w:r>
            <w:r w:rsidR="00146B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сяц</w:t>
            </w:r>
            <w:r w:rsidR="00146B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146BE2" w:rsidRDefault="00F879E9" w:rsidP="00146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через 1 </w:t>
            </w:r>
            <w:r w:rsidR="00146B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F879E9" w:rsidRPr="00966737" w:rsidTr="00F879E9">
        <w:trPr>
          <w:trHeight w:val="691"/>
          <w:jc w:val="center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F879E9" w:rsidRPr="00966737" w:rsidRDefault="00146BE2" w:rsidP="00146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Рухливі ядра</w:t>
            </w:r>
            <w:r w:rsidR="00F879E9"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146BE2" w:rsidRDefault="00146BE2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23,11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23,97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±1,21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24,55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±1,23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</w:tr>
      <w:tr w:rsidR="00F879E9" w:rsidRPr="00966737" w:rsidTr="00F879E9">
        <w:trPr>
          <w:trHeight w:val="1250"/>
          <w:jc w:val="center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146BE2" w:rsidRDefault="00146BE2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23,09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±1,16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28,91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±1,45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29,85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±1,51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F879E9">
        <w:trPr>
          <w:trHeight w:val="691"/>
          <w:jc w:val="center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F879E9" w:rsidRPr="00966737" w:rsidRDefault="00146BE2" w:rsidP="00146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Амплітуда ядер</w:t>
            </w:r>
            <w:r w:rsidR="00F879E9"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146BE2" w:rsidRDefault="00146BE2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1,24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1,27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1,25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</w:tr>
      <w:tr w:rsidR="00F879E9" w:rsidRPr="00966737" w:rsidTr="00F879E9">
        <w:trPr>
          <w:trHeight w:val="691"/>
          <w:jc w:val="center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966737" w:rsidRDefault="00146BE2" w:rsidP="00146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1,23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±0,06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1,58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±0,08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1,57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±0,08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F879E9">
        <w:trPr>
          <w:trHeight w:val="691"/>
          <w:jc w:val="center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F879E9" w:rsidRPr="00966737" w:rsidRDefault="00146BE2" w:rsidP="00146B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Амплітуда  плазмолем</w:t>
            </w:r>
            <w:r w:rsidR="00F879E9"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146BE2" w:rsidRDefault="00146BE2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1,27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1,34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1,33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p&gt;0,05</w:t>
            </w:r>
          </w:p>
        </w:tc>
      </w:tr>
      <w:tr w:rsidR="00F879E9" w:rsidRPr="00966737" w:rsidTr="00F879E9">
        <w:trPr>
          <w:trHeight w:val="1302"/>
          <w:jc w:val="center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146BE2" w:rsidRDefault="00146BE2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1,26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±0,07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1,96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±0,10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1,82</w:t>
            </w:r>
            <w:r w:rsidRPr="00966737">
              <w:rPr>
                <w:rFonts w:ascii="Times New Roman" w:eastAsia="MS Mincho" w:hAnsi="Times New Roman" w:cs="Times New Roman"/>
                <w:sz w:val="28"/>
                <w:szCs w:val="28"/>
              </w:rPr>
              <w:t>±0,10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p&lt;0,05</w:t>
            </w:r>
          </w:p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&lt;0,05</w:t>
            </w:r>
          </w:p>
        </w:tc>
      </w:tr>
      <w:tr w:rsidR="00F879E9" w:rsidRPr="00966737" w:rsidTr="00F879E9">
        <w:trPr>
          <w:trHeight w:val="691"/>
          <w:jc w:val="center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F879E9" w:rsidRPr="00966737" w:rsidRDefault="00F879E9" w:rsidP="00F879E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Апл/Ая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146BE2" w:rsidRDefault="00146BE2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1,06</w:t>
            </w:r>
          </w:p>
        </w:tc>
      </w:tr>
      <w:tr w:rsidR="00F879E9" w:rsidRPr="00966737" w:rsidTr="00F879E9">
        <w:trPr>
          <w:trHeight w:val="691"/>
          <w:jc w:val="center"/>
        </w:trPr>
        <w:tc>
          <w:tcPr>
            <w:tcW w:w="6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879E9" w:rsidRPr="00146BE2" w:rsidRDefault="00146BE2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9E9" w:rsidRPr="00966737" w:rsidRDefault="00F879E9" w:rsidP="00F87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37">
              <w:rPr>
                <w:rFonts w:ascii="Times New Roman" w:eastAsia="Calibri" w:hAnsi="Times New Roman" w:cs="Times New Roman"/>
                <w:sz w:val="28"/>
                <w:szCs w:val="28"/>
              </w:rPr>
              <w:t>1,16</w:t>
            </w:r>
          </w:p>
        </w:tc>
      </w:tr>
    </w:tbl>
    <w:p w:rsidR="00F879E9" w:rsidRDefault="00146BE2" w:rsidP="00284E3C">
      <w:pPr>
        <w:tabs>
          <w:tab w:val="left" w:pos="30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Примітки: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р</w:t>
      </w:r>
      <w:r w:rsidR="00DA5B9B" w:rsidRP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; р</w:t>
      </w:r>
      <w:r w:rsidR="00F879E9" w:rsidRPr="00966737">
        <w:rPr>
          <w:rFonts w:ascii="Times New Roman" w:eastAsia="MS Mincho" w:hAnsi="Times New Roman" w:cs="Times New Roman"/>
          <w:sz w:val="28"/>
          <w:szCs w:val="28"/>
          <w:vertAlign w:val="subscript"/>
        </w:rPr>
        <w:t>1</w:t>
      </w:r>
      <w:r w:rsidR="00DA5B9B" w:rsidRPr="000B282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няння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154649" w:rsidRPr="00284E3C" w:rsidRDefault="00154649" w:rsidP="00284E3C">
      <w:pPr>
        <w:tabs>
          <w:tab w:val="left" w:pos="30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F879E9" w:rsidRPr="00B8605F" w:rsidRDefault="00B8605F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При цьому відзначали тенденцію </w:t>
      </w:r>
      <w:r w:rsidR="003F66B6"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>до збільшення амплітуд зміщення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як ядер, так і плазмолем КБЕ, а, значить, і їх співвідношення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основної групи. Збільшення заряду плазмолем у подальшому призвело до оптимізації с</w:t>
      </w:r>
      <w:r w:rsidR="00143470">
        <w:rPr>
          <w:rFonts w:ascii="Times New Roman" w:eastAsia="MS Mincho" w:hAnsi="Times New Roman" w:cs="Times New Roman"/>
          <w:sz w:val="28"/>
          <w:szCs w:val="28"/>
          <w:lang w:val="uk-UA"/>
        </w:rPr>
        <w:t>піввідношення амплітуд зміщення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як плазмолем, так і ядер, що характерно для нормального </w:t>
      </w:r>
      <w:r w:rsidR="006F7E0A">
        <w:rPr>
          <w:rFonts w:ascii="Times New Roman" w:eastAsia="MS Mincho" w:hAnsi="Times New Roman" w:cs="Times New Roman"/>
          <w:sz w:val="28"/>
          <w:szCs w:val="28"/>
          <w:lang w:val="uk-UA"/>
        </w:rPr>
        <w:t>фізіологіч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ного стану адаптаційних реакцій, починаючи з </w:t>
      </w:r>
      <w:r w:rsidR="00CE1787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к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>літинного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рівня. Так, у дітей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основної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групи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>через 6 місяців з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початку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дослідження, амплітуди зміщення плазмолем та ядер збільшувалися на </w:t>
      </w:r>
      <w:r w:rsidR="00F879E9"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55,6% 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>та</w:t>
      </w:r>
      <w:r w:rsidR="00F879E9"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28,5% </w:t>
      </w:r>
      <w:r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>відповідно</w:t>
      </w:r>
      <w:r w:rsidR="00F879E9" w:rsidRPr="00143470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F879E9" w:rsidRPr="00B8605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F879E9" w:rsidRPr="00966737" w:rsidRDefault="00B8605F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Однак у групі порівняння через 6 місяців після застосування лізоцим</w:t>
      </w:r>
      <w:r w:rsidR="003F66B6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ого ополіскувача електрофоретичні показники КБЕ дещо покращилися, але не досягали нормальних значень у соматично здорових дітей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 подал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шому спостерігалося зниження електрофоретичної активності клітин, а їхні показники достовірно не відрізнялися від вихідних значень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(p &gt; 0,05). </w:t>
      </w:r>
    </w:p>
    <w:p w:rsidR="00F879E9" w:rsidRPr="00B8605F" w:rsidRDefault="00B8605F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Разом з тим, через рік спостережень цифрові значення відсотка рухл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вих ядер КБЕ </w:t>
      </w:r>
      <w:r w:rsidR="00E47BF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основної групи продовжували збільшуватися та були на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29,3%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більш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ими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порівняно з вихідними даними на початку проведення ЛПЗ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Крім того, була встановлена тенденція до збільшення амплітуд зміщення, як ядер, так і плазмолем КБЕ, та амплітуди їх зміщення збільшувалися, а в кінці спостереження були на </w:t>
      </w:r>
      <w:r w:rsidR="00F879E9" w:rsidRPr="00B8605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27,6%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та</w:t>
      </w:r>
      <w:r w:rsidR="00F879E9" w:rsidRPr="00B8605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44,4%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більш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ими від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первинних значень</w:t>
      </w:r>
      <w:r w:rsidR="00F879E9" w:rsidRPr="00B8605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</w:p>
    <w:p w:rsidR="00F879E9" w:rsidRPr="00966737" w:rsidRDefault="00D56C58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Однак у групі порівняння, де застосовувався лише лізоцим</w:t>
      </w:r>
      <w:r w:rsidR="00143470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вмісний ополіскувач, було встановлене зниження ел</w:t>
      </w:r>
      <w:r w:rsidR="00143470"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ктрофоретичної активності кл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тин, та їхні показники практично наближалися до вихідних значень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(p &gt; 0,05). </w:t>
      </w:r>
    </w:p>
    <w:p w:rsidR="00C06492" w:rsidRPr="00FB2DF9" w:rsidRDefault="00D56C58" w:rsidP="00FB2DF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Таким чином, виходячи з результатів проведених досліджень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можна припустити, що застосування розроблених ЛПЗ, що складаються з аплікацій кверцетин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вмісного мукозального гелю, а також його комбінації з гелем, що містить велику кількість поліфенолів, флавонолів, антоцианів та катехінів, а також суміші бісульфату алкалоїдів 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сангвінарину та хелеритрину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 пробіот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чним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та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протигрибковим препаратами, призводить до нормалізації енерг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тичних процесів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КБЕ, стаблізації ядерного та мембранного потенціалів у них, та є показником нормалізації адаптаційних та функц</w:t>
      </w:r>
      <w:r w:rsidR="0013479B">
        <w:rPr>
          <w:rFonts w:ascii="Times New Roman" w:eastAsia="MS Mincho" w:hAnsi="Times New Roman" w:cs="Times New Roman"/>
          <w:sz w:val="28"/>
          <w:szCs w:val="28"/>
          <w:lang w:val="uk-UA"/>
        </w:rPr>
        <w:t>іональних реакцій, починаючи з 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літинного рівня, що призводить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кінцевому рахунку</w:t>
      </w:r>
      <w:r w:rsidR="00284E3C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 пі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вищення загальної та місцевої неспецифічної резистентності </w:t>
      </w:r>
      <w:r w:rsidR="00655A05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у всіх досліджуваних групах з ГЛЛ. При цьому найбільш виражена реакція на кор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кцію запропонованим способом була встановлена </w:t>
      </w:r>
      <w:r w:rsidR="00E47BF2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дітей, основне захвор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вання яких було </w:t>
      </w:r>
      <w:r w:rsidR="00655A05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стадії ремісії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79E9" w:rsidRPr="00966737" w:rsidRDefault="00F879E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966737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    </w:t>
      </w:r>
      <w:r w:rsidRPr="00D21854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5.5.  </w:t>
      </w:r>
      <w:r w:rsidR="00BD2D25">
        <w:rPr>
          <w:rFonts w:ascii="Times New Roman" w:eastAsia="MS Mincho" w:hAnsi="Times New Roman" w:cs="Times New Roman"/>
          <w:b/>
          <w:i/>
          <w:sz w:val="28"/>
          <w:szCs w:val="28"/>
          <w:lang w:val="uk-UA"/>
        </w:rPr>
        <w:t>Зміна властивостей ротової рідини під дією лікувально-профілактичних комплексів</w:t>
      </w:r>
      <w:r w:rsidRPr="00D21854">
        <w:rPr>
          <w:rFonts w:ascii="Times New Roman" w:eastAsia="MS Mincho" w:hAnsi="Times New Roman" w:cs="Times New Roman"/>
          <w:b/>
          <w:i/>
          <w:sz w:val="28"/>
          <w:szCs w:val="28"/>
        </w:rPr>
        <w:t>.</w:t>
      </w:r>
    </w:p>
    <w:p w:rsidR="00F879E9" w:rsidRPr="00DE0F91" w:rsidRDefault="00BD2D25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За останні роки вс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більшого значення набуває діагностика змін, що 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стрічаються у стоматологічних пацієнтів, які страждають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соматичн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пат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логі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ю та змушені регулярно та тривало приймати лікарські засоби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79E9" w:rsidRPr="008147A7">
        <w:rPr>
          <w:rFonts w:ascii="Times New Roman" w:eastAsia="MS Mincho" w:hAnsi="Times New Roman" w:cs="Times New Roman"/>
          <w:sz w:val="28"/>
          <w:szCs w:val="28"/>
        </w:rPr>
        <w:t>[</w:t>
      </w:r>
      <w:r w:rsidR="008147A7">
        <w:rPr>
          <w:rFonts w:ascii="Times New Roman" w:eastAsia="MS Mincho" w:hAnsi="Times New Roman" w:cs="Times New Roman"/>
          <w:sz w:val="28"/>
          <w:szCs w:val="28"/>
        </w:rPr>
        <w:t>12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="008147A7">
        <w:rPr>
          <w:rFonts w:ascii="Times New Roman" w:eastAsia="MS Mincho" w:hAnsi="Times New Roman" w:cs="Times New Roman"/>
          <w:sz w:val="28"/>
          <w:szCs w:val="28"/>
        </w:rPr>
        <w:t>13,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8147A7">
        <w:rPr>
          <w:rFonts w:ascii="Times New Roman" w:eastAsia="MS Mincho" w:hAnsi="Times New Roman" w:cs="Times New Roman"/>
          <w:sz w:val="28"/>
          <w:szCs w:val="28"/>
        </w:rPr>
        <w:t>14,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8147A7">
        <w:rPr>
          <w:rFonts w:ascii="Times New Roman" w:eastAsia="MS Mincho" w:hAnsi="Times New Roman" w:cs="Times New Roman"/>
          <w:sz w:val="28"/>
          <w:szCs w:val="28"/>
        </w:rPr>
        <w:t>15</w:t>
      </w:r>
      <w:r w:rsidR="00F879E9" w:rsidRPr="008147A7">
        <w:rPr>
          <w:rFonts w:ascii="Times New Roman" w:eastAsia="MS Mincho" w:hAnsi="Times New Roman" w:cs="Times New Roman"/>
          <w:sz w:val="28"/>
          <w:szCs w:val="28"/>
        </w:rPr>
        <w:t>]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При цьому чи пов</w:t>
      </w:r>
      <w:r w:rsidR="00205A8B" w:rsidRPr="00205A8B">
        <w:rPr>
          <w:rFonts w:ascii="Times New Roman" w:eastAsia="MS Mincho" w:hAnsi="Times New Roman" w:cs="Times New Roman"/>
          <w:sz w:val="28"/>
          <w:szCs w:val="28"/>
        </w:rPr>
        <w:t>’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язані стоматологічні зміни з патологічним впливом соматичного захворювання, чи є вони проявом небажаного ефекту лікарськ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го засобу або на стоматологічну ситуацію впливають одночасно обидва ці фактори, часто так і залишається не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</w:t>
      </w:r>
      <w:r w:rsidR="0038049B">
        <w:rPr>
          <w:rFonts w:ascii="Times New Roman" w:eastAsia="MS Mincho" w:hAnsi="Times New Roman" w:cs="Times New Roman"/>
          <w:sz w:val="28"/>
          <w:szCs w:val="28"/>
        </w:rPr>
        <w:t>'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ясованим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B11EB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Вірогідно, утворення слини певного якісного та кількісного складу відбувається внаслідок поєднання </w:t>
      </w:r>
      <w:r w:rsidR="00B11EB1" w:rsidRPr="0038049B">
        <w:rPr>
          <w:rFonts w:ascii="Times New Roman" w:eastAsia="MS Mincho" w:hAnsi="Times New Roman" w:cs="Times New Roman"/>
          <w:sz w:val="28"/>
          <w:szCs w:val="28"/>
          <w:lang w:val="uk-UA"/>
        </w:rPr>
        <w:t>ф</w:t>
      </w:r>
      <w:r w:rsidR="00B11EB1" w:rsidRPr="0038049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B11EB1" w:rsidRPr="0038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льтрації </w:t>
      </w:r>
      <w:r w:rsidR="0038049B" w:rsidRPr="0038049B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B11EB1" w:rsidRPr="0038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слинні залози</w:t>
      </w:r>
      <w:r w:rsidR="00B11EB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компонентів крові та вибіркового виведення частини профільтрованих з</w:t>
      </w:r>
      <w:r w:rsidR="00205A8B" w:rsidRPr="00205A8B">
        <w:rPr>
          <w:rFonts w:ascii="Times New Roman" w:eastAsia="MS Mincho" w:hAnsi="Times New Roman" w:cs="Times New Roman"/>
          <w:sz w:val="28"/>
          <w:szCs w:val="28"/>
          <w:lang w:val="uk-UA"/>
        </w:rPr>
        <w:t>’</w:t>
      </w:r>
      <w:r w:rsidR="00B11EB1">
        <w:rPr>
          <w:rFonts w:ascii="Times New Roman" w:eastAsia="MS Mincho" w:hAnsi="Times New Roman" w:cs="Times New Roman"/>
          <w:sz w:val="28"/>
          <w:szCs w:val="28"/>
          <w:lang w:val="uk-UA"/>
        </w:rPr>
        <w:t>єднань у кров. Тому змінити слиноутворення можуть си</w:t>
      </w:r>
      <w:r w:rsidR="00B11EB1">
        <w:rPr>
          <w:rFonts w:ascii="Times New Roman" w:eastAsia="MS Mincho" w:hAnsi="Times New Roman" w:cs="Times New Roman"/>
          <w:sz w:val="28"/>
          <w:szCs w:val="28"/>
          <w:lang w:val="uk-UA"/>
        </w:rPr>
        <w:t>с</w:t>
      </w:r>
      <w:r w:rsidR="00B11EB1">
        <w:rPr>
          <w:rFonts w:ascii="Times New Roman" w:eastAsia="MS Mincho" w:hAnsi="Times New Roman" w:cs="Times New Roman"/>
          <w:sz w:val="28"/>
          <w:szCs w:val="28"/>
          <w:lang w:val="uk-UA"/>
        </w:rPr>
        <w:t>темні фактори, тобто фактори, що змінюють склад крові. Особливо виражені зміни відзначаються у дитячому віці</w:t>
      </w:r>
      <w:r w:rsidR="00F879E9" w:rsidRPr="00DE0F91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3312E5" w:rsidRPr="00B11EB1" w:rsidRDefault="00B11EB1" w:rsidP="008A0A31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Стабільність фізичних власт</w:t>
      </w:r>
      <w:r w:rsidR="0038049B">
        <w:rPr>
          <w:rFonts w:ascii="Times New Roman" w:eastAsia="MS Mincho" w:hAnsi="Times New Roman" w:cs="Times New Roman"/>
          <w:sz w:val="28"/>
          <w:szCs w:val="28"/>
          <w:lang w:val="uk-UA"/>
        </w:rPr>
        <w:t>ивостей ротової рідини, зокрема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="0038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таких як швидкість слиновиділення та її в</w:t>
      </w:r>
      <w:r w:rsidR="00205A8B" w:rsidRPr="00205A8B">
        <w:rPr>
          <w:rFonts w:ascii="Times New Roman" w:eastAsia="MS Mincho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язкість, є необхідною умовою для нормал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ного функціонування органів та тканин порожнини рота. Тому своєчасне 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значення якісних змін у ротовій рідині, особливо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дітей, дозволяє своєчасно скоригувати ці зміни, що надає можливість пошуку нових 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>ш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ляхів вирішення даної проблеми для стабілізації основних показників ротової рідини</w:t>
      </w:r>
      <w:r w:rsidR="00F879E9" w:rsidRPr="00B11EB1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F879E9" w:rsidRPr="000F0425" w:rsidRDefault="00F879E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val="uk-UA"/>
        </w:rPr>
      </w:pPr>
      <w:r w:rsidRPr="000F042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5.</w:t>
      </w:r>
      <w:r w:rsidR="00B31A0C" w:rsidRPr="000F042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5</w:t>
      </w:r>
      <w:r w:rsidRPr="000F042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 xml:space="preserve">.1.    </w:t>
      </w:r>
      <w:r w:rsidR="00DE0F91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Зміна швидкості салівації</w:t>
      </w:r>
      <w:r w:rsidRPr="000F042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.</w:t>
      </w:r>
    </w:p>
    <w:p w:rsidR="00F879E9" w:rsidRPr="000F0425" w:rsidRDefault="00DE0F91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патогенезі основних стоматологічних захворювань, у тому числі й захворювань СОПР, одним з основних факторів є швидкість </w:t>
      </w:r>
      <w:r w:rsidR="007B72A9">
        <w:rPr>
          <w:rFonts w:ascii="Times New Roman" w:eastAsia="MS Mincho" w:hAnsi="Times New Roman" w:cs="Times New Roman"/>
          <w:sz w:val="28"/>
          <w:szCs w:val="28"/>
          <w:lang w:val="uk-UA"/>
        </w:rPr>
        <w:t>слиновиділення</w:t>
      </w:r>
      <w:r w:rsidR="00F879E9" w:rsidRPr="000F042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7B72A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Порушення слиноутворення, що зустрічається найчастіше</w:t>
      </w:r>
      <w:r w:rsidR="00F879E9" w:rsidRPr="000F042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— </w:t>
      </w:r>
      <w:r w:rsidR="007B72A9">
        <w:rPr>
          <w:rFonts w:ascii="Times New Roman" w:eastAsia="MS Mincho" w:hAnsi="Times New Roman" w:cs="Times New Roman"/>
          <w:sz w:val="28"/>
          <w:szCs w:val="28"/>
          <w:lang w:val="uk-UA"/>
        </w:rPr>
        <w:t>це знижена се</w:t>
      </w:r>
      <w:r w:rsidR="007B72A9"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 w:rsidR="007B72A9">
        <w:rPr>
          <w:rFonts w:ascii="Times New Roman" w:eastAsia="MS Mincho" w:hAnsi="Times New Roman" w:cs="Times New Roman"/>
          <w:sz w:val="28"/>
          <w:szCs w:val="28"/>
          <w:lang w:val="uk-UA"/>
        </w:rPr>
        <w:t>реція (гіпосалівація). Наявність гіпофункції може вказувати як на побічну дію лікарського засобу, так і на системне захворювання</w:t>
      </w:r>
      <w:r w:rsidR="00F879E9" w:rsidRPr="000F042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F879E9" w:rsidRPr="000F0425" w:rsidRDefault="007B72A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таблиці </w:t>
      </w:r>
      <w:r w:rsidR="00F879E9" w:rsidRPr="000F0425">
        <w:rPr>
          <w:rFonts w:ascii="Times New Roman" w:eastAsia="MS Mincho" w:hAnsi="Times New Roman" w:cs="Times New Roman"/>
          <w:sz w:val="28"/>
          <w:szCs w:val="28"/>
          <w:lang w:val="uk-UA"/>
        </w:rPr>
        <w:t>11 (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додаток</w:t>
      </w:r>
      <w:r w:rsidR="00F879E9" w:rsidRPr="000F042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представлені зміни показників швидкості сл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новиділення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із запаленням у тканинах парадонту та СОПР</w:t>
      </w:r>
      <w:r w:rsidR="00F879E9" w:rsidRPr="000F0425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що прот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кали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першому гострому періоді, періоді рецидив</w:t>
      </w:r>
      <w:r w:rsidR="00062F4B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періоді ремісії гострих форм лейкемії</w:t>
      </w:r>
      <w:r w:rsidR="00F879E9" w:rsidRPr="000F042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F879E9" w:rsidRPr="00C44ACA" w:rsidRDefault="007B72A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Аналіз отриманих результатів проведених досліджень, представлених у таблиці 11 (додаток), показав, що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обох основних груп з ГХКГ та вир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зково-</w:t>
      </w:r>
      <w:r w:rsidR="00797B32">
        <w:rPr>
          <w:rFonts w:ascii="Times New Roman" w:eastAsia="MS Mincho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ним стоматитом, які протікали як у першому гострому пері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ді, періоді рецидиву, так і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періоді ремісії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гострого лімфобластного лейкозу, встановлен</w:t>
      </w:r>
      <w:r w:rsidR="00062F4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явище вираженої гіпосалівації до початку проведення лікувал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них заходів. </w:t>
      </w:r>
      <w:r w:rsidR="00F879C3">
        <w:rPr>
          <w:rFonts w:ascii="Times New Roman" w:eastAsia="MS Mincho" w:hAnsi="Times New Roman" w:cs="Times New Roman"/>
          <w:sz w:val="28"/>
          <w:szCs w:val="28"/>
          <w:lang w:val="uk-UA"/>
        </w:rPr>
        <w:t>Однак при порівнянні середніх величин вихідних даних у всіх обстежених дітей було визначено, що найбільш низька швидкість слиноутв</w:t>
      </w:r>
      <w:r w:rsidR="00F879C3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F879C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рення та слиновиділення встановлена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F879C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тих дітей, стоматологічні захвор</w:t>
      </w:r>
      <w:r w:rsidR="00F879C3">
        <w:rPr>
          <w:rFonts w:ascii="Times New Roman" w:eastAsia="MS Mincho" w:hAnsi="Times New Roman" w:cs="Times New Roman"/>
          <w:sz w:val="28"/>
          <w:szCs w:val="28"/>
          <w:lang w:val="uk-UA"/>
        </w:rPr>
        <w:t>ю</w:t>
      </w:r>
      <w:r w:rsidR="00F879C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вання яких протікали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F879C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першому гострому періоді та періоді рецидив</w:t>
      </w:r>
      <w:r w:rsidR="00062F4B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F879C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осно</w:t>
      </w:r>
      <w:r w:rsidR="00F879C3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F879C3">
        <w:rPr>
          <w:rFonts w:ascii="Times New Roman" w:eastAsia="MS Mincho" w:hAnsi="Times New Roman" w:cs="Times New Roman"/>
          <w:sz w:val="28"/>
          <w:szCs w:val="28"/>
          <w:lang w:val="uk-UA"/>
        </w:rPr>
        <w:t>ного захворювання крові</w:t>
      </w:r>
      <w:r w:rsidR="00F879E9" w:rsidRPr="00F879C3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F879C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Так, вихідне значення швидкості слиновиділення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групі порівняння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у першому гострому періоді та періоді рецидив</w:t>
      </w:r>
      <w:r w:rsidR="00062F4B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ГЛЛ в середньому склало </w:t>
      </w:r>
      <w:r w:rsidR="00F879E9" w:rsidRPr="00062F4B">
        <w:rPr>
          <w:rFonts w:ascii="Times New Roman" w:eastAsia="MS Mincho" w:hAnsi="Times New Roman" w:cs="Times New Roman"/>
          <w:sz w:val="28"/>
          <w:szCs w:val="28"/>
          <w:lang w:val="uk-UA"/>
        </w:rPr>
        <w:t>0,28 ± 0,014 мл/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хв</w:t>
      </w:r>
      <w:r w:rsidR="00F879E9" w:rsidRPr="00062F4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періоді ремісії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F879E9" w:rsidRPr="00062F4B">
        <w:rPr>
          <w:rFonts w:ascii="Times New Roman" w:eastAsia="MS Mincho" w:hAnsi="Times New Roman" w:cs="Times New Roman"/>
          <w:sz w:val="28"/>
          <w:szCs w:val="28"/>
          <w:lang w:val="uk-UA"/>
        </w:rPr>
        <w:t>– 0,34 ± 0,017 мл/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хв</w:t>
      </w:r>
      <w:r w:rsidR="00F879E9" w:rsidRPr="00062F4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При цьому після застосування лізоцим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ого ополіскувача шви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д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кість салівації достовірно збільшувалася </w:t>
      </w:r>
      <w:r w:rsidR="00F879E9" w:rsidRPr="007365EB">
        <w:rPr>
          <w:rFonts w:ascii="Times New Roman" w:eastAsia="MS Mincho" w:hAnsi="Times New Roman" w:cs="Times New Roman"/>
          <w:sz w:val="28"/>
          <w:szCs w:val="28"/>
          <w:lang w:val="uk-UA"/>
        </w:rPr>
        <w:t>(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p</w:t>
      </w:r>
      <w:r w:rsidR="00F879E9" w:rsidRPr="007365E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&lt; 0,05) 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та в кінці дослідження її цифрові значення складали</w:t>
      </w:r>
      <w:r w:rsidR="00F879E9" w:rsidRPr="007365E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0,35 ± 0,018 мл/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хв</w:t>
      </w:r>
      <w:r w:rsidR="00F879E9" w:rsidRPr="007365E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дітей у групі порівняння </w:t>
      </w:r>
      <w:r w:rsidR="00B34A4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першому гострому періоді та періоді рецидиву ГЛЛ</w:t>
      </w:r>
      <w:r w:rsidR="00F879E9" w:rsidRPr="007365E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що на </w:t>
      </w:r>
      <w:r w:rsidR="00F879E9" w:rsidRPr="007365E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25%  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вище порі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няно з вихідними даними на початку лікування. У дітей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групі порівняння, основне захворювання яких було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періоді ремісії, також було встановлене достовірне збільшення швидкості слиновиділення</w:t>
      </w:r>
      <w:r w:rsidR="00F879E9" w:rsidRP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p</w:t>
      </w:r>
      <w:r w:rsidR="00F879E9" w:rsidRP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&lt; 0,05), 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а через рік сп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стережень, після проведених курсів лікувально-профілактичних заходів пок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зник, що вивчається, склав </w:t>
      </w:r>
      <w:r w:rsidR="00F879E9" w:rsidRPr="00C44ACA">
        <w:rPr>
          <w:rFonts w:ascii="Times New Roman" w:eastAsia="MS Mincho" w:hAnsi="Times New Roman" w:cs="Times New Roman"/>
          <w:sz w:val="28"/>
          <w:szCs w:val="28"/>
          <w:lang w:val="uk-UA"/>
        </w:rPr>
        <w:t>0,46 ± 0,023мл/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хв</w:t>
      </w:r>
      <w:r w:rsidR="00F879E9" w:rsidRP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що на </w:t>
      </w:r>
      <w:r w:rsidR="00F879E9" w:rsidRP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35% 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вище вихідних зн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чень та практично дорівнює нормальному значенню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C44A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здорових дітей</w:t>
      </w:r>
      <w:r w:rsidR="00F879E9" w:rsidRPr="00C44ACA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F879E9" w:rsidRPr="00966737" w:rsidRDefault="00C44ACA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Застосування різних методів лікування достовірно збільшувало шви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кість слиновиділення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обох основних групах дітей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(р &lt;0,05). </w:t>
      </w:r>
    </w:p>
    <w:p w:rsidR="00F879E9" w:rsidRPr="00966737" w:rsidRDefault="00C44ACA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Так, проведення курсу з використанням розроблених ЛПЗ, які включ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ли аплікації кверцетин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ого мукозального гелю, а також гелю, що мі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тить велику кількість поліфенолів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флавонолів, антоцианів та катехінів, с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міш бісульфату алкалоїдів 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сангвінарину та хелеритрину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 пробіотичним та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протигрибковим препаратами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достовірно підвищувало швидкість слинов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ділення та через рік спостережень вона була у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1,6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</w:t>
      </w:r>
      <w:r w:rsidR="00B34A49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більш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ою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порівняно з вихідними даними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154649">
        <w:rPr>
          <w:rFonts w:ascii="Times New Roman" w:eastAsia="MS Mincho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 5.1</w:t>
      </w:r>
      <w:r w:rsidR="00D93904">
        <w:rPr>
          <w:rFonts w:ascii="Times New Roman" w:eastAsia="MS Mincho" w:hAnsi="Times New Roman" w:cs="Times New Roman"/>
          <w:sz w:val="28"/>
          <w:szCs w:val="28"/>
          <w:lang w:val="uk-UA"/>
        </w:rPr>
        <w:t>9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). </w:t>
      </w:r>
    </w:p>
    <w:p w:rsidR="00F879E9" w:rsidRPr="00966737" w:rsidRDefault="00C44ACA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Однак застосування другого методу лікування, коли в комбінації з 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козальним гелем використовували пробіотичний препарат та лізоцим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ий ополіскувач, цифрові значення показника, що вивчається, збільшувалися у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1,8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</w:t>
      </w:r>
      <w:r w:rsidR="00B34A49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через рік </w:t>
      </w:r>
      <w:r w:rsidR="00B34A49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кінці дослідження та достовірно не відрізнялися від но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мальних значень у здорових дітей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Разом з тим, звертає 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себе увагу той факт, що перший метод лікування застосовували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дітей, </w:t>
      </w:r>
      <w:r w:rsidR="002F2628">
        <w:rPr>
          <w:rFonts w:ascii="Times New Roman" w:eastAsia="MS Mincho" w:hAnsi="Times New Roman" w:cs="Times New Roman"/>
          <w:sz w:val="28"/>
          <w:szCs w:val="28"/>
          <w:lang w:val="uk-UA"/>
        </w:rPr>
        <w:t>стоматологічні з</w:t>
      </w:r>
      <w:r w:rsidR="002F2628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2F262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хворювання у яких протікали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2F262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першому гострому періоді та в періоді рец</w:t>
      </w:r>
      <w:r w:rsidR="002F2628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2F262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диву основного захворювання крові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="002F2628">
        <w:rPr>
          <w:rFonts w:ascii="Times New Roman" w:eastAsia="MS Mincho" w:hAnsi="Times New Roman" w:cs="Times New Roman"/>
          <w:sz w:val="28"/>
          <w:szCs w:val="28"/>
          <w:lang w:val="uk-UA"/>
        </w:rPr>
        <w:t>Г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ЛЛ, </w:t>
      </w:r>
      <w:r w:rsidR="002F262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 другий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 xml:space="preserve">– у </w:t>
      </w:r>
      <w:r w:rsidR="002F2628">
        <w:rPr>
          <w:rFonts w:ascii="Times New Roman" w:eastAsia="MS Mincho" w:hAnsi="Times New Roman" w:cs="Times New Roman"/>
          <w:sz w:val="28"/>
          <w:szCs w:val="28"/>
          <w:lang w:val="uk-UA"/>
        </w:rPr>
        <w:t>дітей в періоді рем</w:t>
      </w:r>
      <w:r w:rsidR="002F2628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2F2628">
        <w:rPr>
          <w:rFonts w:ascii="Times New Roman" w:eastAsia="MS Mincho" w:hAnsi="Times New Roman" w:cs="Times New Roman"/>
          <w:sz w:val="28"/>
          <w:szCs w:val="28"/>
          <w:lang w:val="uk-UA"/>
        </w:rPr>
        <w:t>сії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79E9" w:rsidRPr="00966737" w:rsidRDefault="00542D7B" w:rsidP="00F879E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42D7B">
        <w:rPr>
          <w:rFonts w:ascii="Times New Roman" w:eastAsia="MS Mincho" w:hAnsi="Times New Roman" w:cs="Times New Roman"/>
          <w:noProof/>
          <w:sz w:val="28"/>
          <w:szCs w:val="28"/>
        </w:rPr>
        <w:drawing>
          <wp:inline distT="0" distB="0" distL="0" distR="0">
            <wp:extent cx="5940425" cy="3145473"/>
            <wp:effectExtent l="19050" t="0" r="222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879E9" w:rsidRPr="00966737" w:rsidRDefault="00994481" w:rsidP="00C0649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 5.1</w:t>
      </w:r>
      <w:r w:rsidR="00D93904">
        <w:rPr>
          <w:rFonts w:ascii="Times New Roman" w:eastAsia="MS Mincho" w:hAnsi="Times New Roman" w:cs="Times New Roman"/>
          <w:sz w:val="28"/>
          <w:szCs w:val="28"/>
          <w:lang w:val="uk-UA"/>
        </w:rPr>
        <w:t>9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EE365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Динаміка змін швидкості слиновиділення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EE365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ГЛЛ</w:t>
      </w:r>
    </w:p>
    <w:p w:rsidR="00F879E9" w:rsidRPr="00966737" w:rsidRDefault="00F879E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879E9" w:rsidRPr="00FA6067" w:rsidRDefault="00BC62A1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Таким чином, є підстави вважати, що знижена швидкість слиновид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лення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із з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пальними захворюваннями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рота, що виникли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різні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періоди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розвитку гострого лімфобластного лейкозу, здатні значно 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гіршити її захисну та очищу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вальн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функції, що може призвести, </w:t>
      </w:r>
      <w:r w:rsidR="00B34A49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свою че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гу, до створення патологічної ситуації </w:t>
      </w:r>
      <w:r w:rsidR="00FF22C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рота та до збільшення 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зику виникнення запалення як у тканинах пародонту, так і СОПР. У той же час можна стверджувати, що курсове застосування розроблених</w:t>
      </w:r>
      <w:r w:rsidR="00AC6E3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методів л</w:t>
      </w:r>
      <w:r w:rsidR="00AC6E3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AC6E3B">
        <w:rPr>
          <w:rFonts w:ascii="Times New Roman" w:eastAsia="MS Mincho" w:hAnsi="Times New Roman" w:cs="Times New Roman"/>
          <w:sz w:val="28"/>
          <w:szCs w:val="28"/>
          <w:lang w:val="uk-UA"/>
        </w:rPr>
        <w:t>кування, що включають у себе аплікації кверцетин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 w:rsidR="00AC6E3B">
        <w:rPr>
          <w:rFonts w:ascii="Times New Roman" w:eastAsia="MS Mincho" w:hAnsi="Times New Roman" w:cs="Times New Roman"/>
          <w:sz w:val="28"/>
          <w:szCs w:val="28"/>
          <w:lang w:val="uk-UA"/>
        </w:rPr>
        <w:t>ого мукозального г</w:t>
      </w:r>
      <w:r w:rsidR="00AC6E3B"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 w:rsidR="00AC6E3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лю та його комбінації </w:t>
      </w:r>
      <w:r w:rsidR="00CB1A18">
        <w:rPr>
          <w:rFonts w:ascii="Times New Roman" w:eastAsia="MS Mincho" w:hAnsi="Times New Roman" w:cs="Times New Roman"/>
          <w:sz w:val="28"/>
          <w:szCs w:val="28"/>
          <w:lang w:val="uk-UA"/>
        </w:rPr>
        <w:t>з поліфенолами, флавонолами, препаратом антиокс</w:t>
      </w:r>
      <w:r w:rsidR="00CB1A18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CB1A1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дантних вітамінів, </w:t>
      </w:r>
      <w:r w:rsidR="00EA43B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сумішшю бісульфату алкалоїдів 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сангвінарину та хелери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т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рину</w:t>
      </w:r>
      <w:r w:rsidR="00EA43B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 пробіотичним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EA43B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протигрибковим</w:t>
      </w:r>
      <w:r w:rsidR="00205A8B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EA43B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препаратами, на фоні викори</w:t>
      </w:r>
      <w:r w:rsidR="00EA43BF">
        <w:rPr>
          <w:rFonts w:ascii="Times New Roman" w:eastAsia="MS Mincho" w:hAnsi="Times New Roman" w:cs="Times New Roman"/>
          <w:sz w:val="28"/>
          <w:szCs w:val="28"/>
          <w:lang w:val="uk-UA"/>
        </w:rPr>
        <w:t>с</w:t>
      </w:r>
      <w:r w:rsidR="00EA43BF">
        <w:rPr>
          <w:rFonts w:ascii="Times New Roman" w:eastAsia="MS Mincho" w:hAnsi="Times New Roman" w:cs="Times New Roman"/>
          <w:sz w:val="28"/>
          <w:szCs w:val="28"/>
          <w:lang w:val="uk-UA"/>
        </w:rPr>
        <w:t>тання зубного еліксиру у вигляді ротових полоскань, стимулюють функці</w:t>
      </w:r>
      <w:r w:rsidR="00EA43BF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EA43B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нальну активність слинних </w:t>
      </w:r>
      <w:r w:rsidR="00C54AB6">
        <w:rPr>
          <w:rFonts w:ascii="Times New Roman" w:eastAsia="MS Mincho" w:hAnsi="Times New Roman" w:cs="Times New Roman"/>
          <w:sz w:val="28"/>
          <w:szCs w:val="28"/>
          <w:lang w:val="uk-UA"/>
        </w:rPr>
        <w:t>залоз, що значно покращує захис</w:t>
      </w:r>
      <w:r w:rsidR="00EA43B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ну та очищуючу функції ротової рідини, та забезпечує </w:t>
      </w:r>
      <w:r w:rsidR="00FA606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рівновагу </w:t>
      </w:r>
      <w:r w:rsidR="006F7E0A">
        <w:rPr>
          <w:rFonts w:ascii="Times New Roman" w:eastAsia="MS Mincho" w:hAnsi="Times New Roman" w:cs="Times New Roman"/>
          <w:sz w:val="28"/>
          <w:szCs w:val="28"/>
          <w:lang w:val="uk-UA"/>
        </w:rPr>
        <w:t>фізіологіч</w:t>
      </w:r>
      <w:r w:rsidR="00FA6067">
        <w:rPr>
          <w:rFonts w:ascii="Times New Roman" w:eastAsia="MS Mincho" w:hAnsi="Times New Roman" w:cs="Times New Roman"/>
          <w:sz w:val="28"/>
          <w:szCs w:val="28"/>
          <w:lang w:val="uk-UA"/>
        </w:rPr>
        <w:t>них процесів у р</w:t>
      </w:r>
      <w:r w:rsidR="00FA6067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FA6067">
        <w:rPr>
          <w:rFonts w:ascii="Times New Roman" w:eastAsia="MS Mincho" w:hAnsi="Times New Roman" w:cs="Times New Roman"/>
          <w:sz w:val="28"/>
          <w:szCs w:val="28"/>
          <w:lang w:val="uk-UA"/>
        </w:rPr>
        <w:t>товій порожнині</w:t>
      </w:r>
      <w:r w:rsidR="00F879E9" w:rsidRPr="00FA6067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F879E9" w:rsidRPr="000F0425" w:rsidRDefault="00F879E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val="uk-UA"/>
        </w:rPr>
      </w:pPr>
      <w:r w:rsidRPr="000F042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5.</w:t>
      </w:r>
      <w:r w:rsidR="00B31A0C" w:rsidRPr="000F042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5</w:t>
      </w:r>
      <w:r w:rsidRPr="000F042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 xml:space="preserve">.2.    </w:t>
      </w:r>
      <w:r w:rsidR="00FA6067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Динаміка в</w:t>
      </w:r>
      <w:r w:rsidR="00FA6067" w:rsidRPr="000F042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’</w:t>
      </w:r>
      <w:r w:rsidR="00FA6067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язкості ротової рідини</w:t>
      </w:r>
      <w:r w:rsidRPr="000F0425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.</w:t>
      </w:r>
    </w:p>
    <w:p w:rsidR="00F879E9" w:rsidRPr="00FA6067" w:rsidRDefault="00FA6067" w:rsidP="00F87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дитячому віці склад та властивості ротової рідини мають свої осо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ливості. Значні зміни параметрів ротової рідини відзначаються </w:t>
      </w:r>
      <w:r w:rsidR="00B34A4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 що мають різні соматичні захворювання. При цьому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даного контингенту дітей збільшується в</w:t>
      </w:r>
      <w:r w:rsidR="00C162AF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язкість ротової рідини на фоні зниження швидкості салівації, що відіграє певну роль у розвитку запалення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тканинах пародонту та слиз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вої оболонки порожнини рота</w:t>
      </w:r>
      <w:r w:rsidR="00F879E9" w:rsidRPr="00FA6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879E9" w:rsidRPr="00966737" w:rsidRDefault="00FA6067" w:rsidP="00F87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Однак даних про в</w:t>
      </w:r>
      <w:r w:rsidRPr="00FA6067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язкість ротової рідини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виразковим та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ним стоматитом, які протікають на фоні гострого лімфобластного ле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козу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різні періоди його перебігу, недостатньо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9E9" w:rsidRPr="008611C8" w:rsidRDefault="00FA6067" w:rsidP="00F87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отриманих цифрових даних свідчить про те, що в</w:t>
      </w:r>
      <w:r w:rsidRPr="00FA6067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язкість рот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вої рідини значно підвищена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як з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ГХКГ,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 і з виразковим та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стоматитом, та представлений у таблиці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12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найбільші цифрові значення цього показника ротової рідини встановлені </w:t>
      </w:r>
      <w:r w:rsidR="00B34A4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 запальні захворювання яких протікали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 гострому періоді та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рецидиву ГЛЛ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Так, на початку дослідження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цих дітей середній показник склав </w:t>
      </w:r>
      <w:r w:rsidR="00F879E9" w:rsidRP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2,97 ± 0,15 СП – 2,98 ± 0,15 СП, 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у дітей з </w:t>
      </w:r>
      <w:r w:rsidR="00F879E9" w:rsidRP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ГХКГ 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>та стомат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том, що протікає </w:t>
      </w:r>
      <w:r w:rsidR="00B34A4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ремісії ГЛЛ, він складав </w:t>
      </w:r>
      <w:r w:rsidR="00F879E9" w:rsidRPr="00861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2,74 ± 0,14 СП – 2,75 ± 0,14 СП (табл.12, </w:t>
      </w:r>
      <w:r w:rsidR="008611C8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 w:rsidR="00F879E9" w:rsidRPr="008611C8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879E9" w:rsidRPr="00966737" w:rsidRDefault="008611C8" w:rsidP="00F87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Разом з тим, після проведення лікувальних заходів у порожнині рота,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полягали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застосуванні кверцетин</w:t>
      </w:r>
      <w:r w:rsidR="008A195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гелю у вигляді аплікацій, а також гелю, богатого поліфенолами, флавонолами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комбінації із сумішшю бісульфату алкалоїдів </w:t>
      </w:r>
      <w:r w:rsidR="000143CF">
        <w:rPr>
          <w:rFonts w:ascii="Times New Roman" w:eastAsia="Times New Roman" w:hAnsi="Times New Roman" w:cs="Times New Roman"/>
          <w:sz w:val="28"/>
          <w:szCs w:val="28"/>
          <w:lang w:val="uk-UA"/>
        </w:rPr>
        <w:t>сангвінарину та хелеритрину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, пробіотичним та прот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грибковим препаратами з використанням лізоцим</w:t>
      </w:r>
      <w:r w:rsidR="008A195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703C4">
        <w:rPr>
          <w:rFonts w:ascii="Times New Roman" w:eastAsia="Times New Roman" w:hAnsi="Times New Roman" w:cs="Times New Roman"/>
          <w:sz w:val="28"/>
          <w:szCs w:val="28"/>
          <w:lang w:val="uk-UA"/>
        </w:rPr>
        <w:t>вмісн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ого ополіскувача</w:t>
      </w:r>
      <w:r w:rsidR="00F879E9" w:rsidRP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даний показник у дітей з </w:t>
      </w:r>
      <w:r w:rsidR="00F879E9" w:rsidRP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ГХКГ 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та стоматитом у першому гострому періоді</w:t>
      </w:r>
      <w:r w:rsidR="00C55E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рецидиву ГЛЛ </w:t>
      </w:r>
      <w:r w:rsidR="00C55EF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кінці дослідження до</w:t>
      </w:r>
      <w:r w:rsidR="00C162AF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товірно відрізнявся від вихідних даних на початку лікування</w:t>
      </w:r>
      <w:r w:rsidR="00F879E9" w:rsidRP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 </w:t>
      </w:r>
      <w:r w:rsidR="002D2D8F" w:rsidRP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&lt;</w:t>
      </w:r>
      <w:r w:rsidR="00F879E9" w:rsidRP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0,05), 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але від даних групи порівняння ці відмінно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ті були недостовірними</w:t>
      </w:r>
      <w:r w:rsidR="00F879E9" w:rsidRP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 </w:t>
      </w:r>
      <w:r w:rsidR="005D397E" w:rsidRP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&gt;</w:t>
      </w:r>
      <w:r w:rsidR="00F879E9" w:rsidRP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0,05). 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Позитивна динаміка зміни в</w:t>
      </w:r>
      <w:r w:rsidR="0002417C" w:rsidRP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язкості рот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вої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рідини була встановлена протягом всього періоду спостереження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 кінці дослідження цифрові значення в</w:t>
      </w:r>
      <w:r w:rsidR="002B43F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язкості ротової рідини </w:t>
      </w:r>
      <w:r w:rsidR="00C55E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основної групи складали </w:t>
      </w:r>
      <w:r w:rsidR="00F879E9" w:rsidRP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2,46 ± 0,13СП. 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>Однак, не дивлячись на зниження показника в</w:t>
      </w:r>
      <w:r w:rsidR="0002417C" w:rsidRPr="0002417C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язкості 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цій групі, він залишався несуттєво вищ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им порівняно з показник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F2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здорови</w:t>
      </w:r>
      <w:r w:rsidR="008249D5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024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</w:t>
      </w:r>
      <w:r w:rsidR="008249D5">
        <w:rPr>
          <w:rFonts w:ascii="Times New Roman" w:eastAsia="Times New Roman" w:hAnsi="Times New Roman" w:cs="Times New Roman"/>
          <w:sz w:val="28"/>
          <w:szCs w:val="28"/>
          <w:lang w:val="uk-UA"/>
        </w:rPr>
        <w:t>ей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6573F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 5.</w:t>
      </w:r>
      <w:r w:rsidR="00D9390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879E9" w:rsidRPr="003F46A2" w:rsidRDefault="003F46A2" w:rsidP="00F87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46A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45473"/>
            <wp:effectExtent l="19050" t="0" r="22225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879E9" w:rsidRPr="000E4E1E" w:rsidRDefault="0006573F" w:rsidP="00C0649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Рис</w:t>
      </w:r>
      <w:r w:rsidR="0002417C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D9390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5.</w:t>
      </w:r>
      <w:r w:rsidR="00F879E9" w:rsidRPr="000E4E1E">
        <w:rPr>
          <w:rFonts w:ascii="Times New Roman" w:eastAsia="MS Mincho" w:hAnsi="Times New Roman" w:cs="Times New Roman"/>
          <w:sz w:val="28"/>
          <w:szCs w:val="28"/>
          <w:lang w:val="en-US"/>
        </w:rPr>
        <w:t>2</w:t>
      </w:r>
      <w:r w:rsidR="00D93904">
        <w:rPr>
          <w:rFonts w:ascii="Times New Roman" w:eastAsia="MS Mincho" w:hAnsi="Times New Roman" w:cs="Times New Roman"/>
          <w:sz w:val="28"/>
          <w:szCs w:val="28"/>
          <w:lang w:val="uk-UA"/>
        </w:rPr>
        <w:t>0</w:t>
      </w:r>
      <w:r w:rsidR="00F879E9" w:rsidRPr="000E4E1E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r w:rsidR="008A195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02417C">
        <w:rPr>
          <w:rFonts w:ascii="Times New Roman" w:eastAsia="MS Mincho" w:hAnsi="Times New Roman" w:cs="Times New Roman"/>
          <w:sz w:val="28"/>
          <w:szCs w:val="28"/>
          <w:lang w:val="uk-UA"/>
        </w:rPr>
        <w:t>Динаміка змін в</w:t>
      </w:r>
      <w:r w:rsidR="0002417C" w:rsidRPr="000E4E1E">
        <w:rPr>
          <w:rFonts w:ascii="Times New Roman" w:eastAsia="MS Mincho" w:hAnsi="Times New Roman" w:cs="Times New Roman"/>
          <w:sz w:val="28"/>
          <w:szCs w:val="28"/>
          <w:lang w:val="en-US"/>
        </w:rPr>
        <w:t>’</w:t>
      </w:r>
      <w:r w:rsidR="0002417C">
        <w:rPr>
          <w:rFonts w:ascii="Times New Roman" w:eastAsia="MS Mincho" w:hAnsi="Times New Roman" w:cs="Times New Roman"/>
          <w:sz w:val="28"/>
          <w:szCs w:val="28"/>
          <w:lang w:val="uk-UA"/>
        </w:rPr>
        <w:t>язкості ротово</w:t>
      </w:r>
      <w:r w:rsidR="008A1957">
        <w:rPr>
          <w:rFonts w:ascii="Times New Roman" w:eastAsia="MS Mincho" w:hAnsi="Times New Roman" w:cs="Times New Roman"/>
          <w:sz w:val="28"/>
          <w:szCs w:val="28"/>
          <w:lang w:val="uk-UA"/>
        </w:rPr>
        <w:t>ї</w:t>
      </w:r>
      <w:r w:rsidR="0002417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рідини </w:t>
      </w:r>
      <w:r w:rsidR="008249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 </w:t>
      </w:r>
      <w:r w:rsidR="0002417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ГЛЛ</w:t>
      </w:r>
    </w:p>
    <w:p w:rsidR="00F879E9" w:rsidRPr="000E4E1E" w:rsidRDefault="00F879E9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F879E9" w:rsidRPr="000E4E1E" w:rsidRDefault="008D0110" w:rsidP="00F879E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Аналізуючи цифрові значення в</w:t>
      </w:r>
      <w:r w:rsidR="002B43FB" w:rsidRPr="000E4E1E">
        <w:rPr>
          <w:rFonts w:ascii="Times New Roman" w:eastAsia="MS Mincho" w:hAnsi="Times New Roman" w:cs="Times New Roman"/>
          <w:sz w:val="28"/>
          <w:szCs w:val="28"/>
          <w:lang w:val="en-US"/>
        </w:rPr>
        <w:t>'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язкості ротової рідини, отримані при дослідженні </w:t>
      </w:r>
      <w:r w:rsidR="00CE006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дітей </w:t>
      </w:r>
      <w:r w:rsidR="00CE006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 ГХКГ та стоматитом, які протікали на </w:t>
      </w:r>
      <w:r w:rsidR="00C55EF7">
        <w:rPr>
          <w:rFonts w:ascii="Times New Roman" w:eastAsia="MS Mincho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 ремісії осно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ного захворювання крові, було встановлено, що після застосування розро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леного ЛПК, до складу якого входили мукозальний гель з поліфенолами та пробіотичний препарат, а також лізоцим</w:t>
      </w:r>
      <w:r w:rsidR="008A1957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вмісний гель, показник, що вивч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ється</w:t>
      </w:r>
      <w:r w:rsidR="008A1957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достовірно знижується та в кінці спостереження складав</w:t>
      </w:r>
      <w:r w:rsidR="00F879E9" w:rsidRPr="000E4E1E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2,18 ± 0,11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СП</w:t>
      </w:r>
      <w:r w:rsidR="00F879E9" w:rsidRPr="000E4E1E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Разом з тим, звертає на себе увагу той факт, що в</w:t>
      </w:r>
      <w:r w:rsidRPr="000E4E1E">
        <w:rPr>
          <w:rFonts w:ascii="Times New Roman" w:eastAsia="MS Mincho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язкість ротової рідини після проведеного лікування хоча й знижується </w:t>
      </w:r>
      <w:r w:rsidR="00C55EF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обох основних групах, але в кінці дослідження </w:t>
      </w:r>
      <w:r w:rsidR="00CE006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групі дітей, захворювання крові яких знаходилося </w:t>
      </w:r>
      <w:r w:rsidR="00CE006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періоді ремісії, цифрове значення показника, що вивчається, </w:t>
      </w:r>
      <w:r w:rsidR="00F879E9" w:rsidRPr="00966737">
        <w:rPr>
          <w:rFonts w:ascii="Times New Roman" w:eastAsia="MS Mincho" w:hAnsi="Times New Roman" w:cs="Times New Roman"/>
          <w:sz w:val="28"/>
          <w:szCs w:val="28"/>
        </w:rPr>
        <w:t>на</w:t>
      </w:r>
      <w:r w:rsidR="00F879E9" w:rsidRPr="000E4E1E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12%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нижче порівн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но з даними </w:t>
      </w:r>
      <w:r w:rsidR="00CE006A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дітей, ГЛЛ яких знаходився </w:t>
      </w:r>
      <w:r w:rsidR="00C55EF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першому гострому періоді або в періоді рецидиву.</w:t>
      </w:r>
      <w:r w:rsidR="00F879E9" w:rsidRPr="000E4E1E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</w:p>
    <w:p w:rsidR="00F879E9" w:rsidRPr="002B49CE" w:rsidRDefault="002B49CE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згідно</w:t>
      </w:r>
      <w:r w:rsidR="00CE0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наведени</w:t>
      </w:r>
      <w:r w:rsidR="00CE006A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</w:t>
      </w:r>
      <w:r w:rsidR="00CE006A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можна стверджувати, що </w:t>
      </w:r>
      <w:r w:rsidR="00CE006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ГХКГ</w:t>
      </w:r>
      <w:r w:rsidR="00F879E9" w:rsidRPr="000E4E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виразковим,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ним стоматитом, що протікає на фоні основного захворювання крові</w:t>
      </w:r>
      <w:r w:rsidR="00F879E9" w:rsidRPr="000E4E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ГЛЛ</w:t>
      </w:r>
      <w:r w:rsidR="00F879E9" w:rsidRPr="000E4E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відбувається суттєва зміна складу та властивостей ротової рідини </w:t>
      </w:r>
      <w:r w:rsidR="00F879E9" w:rsidRPr="000E4E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збільшується її в</w:t>
      </w:r>
      <w:r w:rsidRPr="000E4E1E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язкість та знижується </w:t>
      </w:r>
      <w:r w:rsidR="008A1957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кість салівації. Однак, застосування розробленого нами лікувально-профілактичного комплексу</w:t>
      </w:r>
      <w:r w:rsidR="00F879E9" w:rsidRPr="002B49C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включає у себе кверцетин</w:t>
      </w:r>
      <w:r w:rsidR="008A1957">
        <w:rPr>
          <w:rFonts w:ascii="Times New Roman" w:eastAsia="Times New Roman" w:hAnsi="Times New Roman" w:cs="Times New Roman"/>
          <w:sz w:val="28"/>
          <w:szCs w:val="28"/>
          <w:lang w:val="uk-UA"/>
        </w:rPr>
        <w:t>овміс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ний гель у вигляді аплікацій, а також гель, багатий на поліфеноли, флавоноли, препарат антиоксидантних вітамінів у комбінації із сумішшю бісульфату алкалоїдів </w:t>
      </w:r>
      <w:r w:rsidR="000143CF">
        <w:rPr>
          <w:rFonts w:ascii="Times New Roman" w:eastAsia="Times New Roman" w:hAnsi="Times New Roman" w:cs="Times New Roman"/>
          <w:sz w:val="28"/>
          <w:szCs w:val="28"/>
          <w:lang w:val="uk-UA"/>
        </w:rPr>
        <w:t>сангвінарину та хелеритрину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пробіотичний та протигрибковий препарати з використанням лізоцим</w:t>
      </w:r>
      <w:r w:rsidR="002A55A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вмісного ополіскувача, стимулює функціональну активність слинних залоз, що значно покращує протимікробну, захисну та очищу</w:t>
      </w:r>
      <w:r w:rsidR="00CE006A">
        <w:rPr>
          <w:rFonts w:ascii="Times New Roman" w:eastAsia="Times New Roman" w:hAnsi="Times New Roman" w:cs="Times New Roman"/>
          <w:sz w:val="28"/>
          <w:szCs w:val="28"/>
          <w:lang w:val="uk-UA"/>
        </w:rPr>
        <w:t>вальну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функції ротової рідини, здійснює коригу</w:t>
      </w:r>
      <w:r w:rsidR="00CE006A">
        <w:rPr>
          <w:rFonts w:ascii="Times New Roman" w:eastAsia="Times New Roman" w:hAnsi="Times New Roman" w:cs="Times New Roman"/>
          <w:sz w:val="28"/>
          <w:szCs w:val="28"/>
          <w:lang w:val="uk-UA"/>
        </w:rPr>
        <w:t>вальну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дію на біоценоз порожнини рота та дає можливість зменшити явища запального характеру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СОПР</w:t>
      </w:r>
      <w:r w:rsidR="00F879E9" w:rsidRPr="002B49C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прискорити ранозагою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вальні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процеси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гострими формами лейкемії</w:t>
      </w:r>
      <w:r w:rsidR="00F879E9" w:rsidRPr="002B49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79E9" w:rsidRPr="00D72D20" w:rsidRDefault="002B49CE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Аналізуючи отримані клінічні та клініко-лабораторні результати лік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 ерозивно-виразкового та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ного ураження СОПР, а також зап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лення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тканинах пародонту, які виникали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</w:t>
      </w:r>
      <w:r w:rsidR="00F879E9" w:rsidRPr="00D7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– 18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років під час лік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 основного онкогематологічного захворювання </w:t>
      </w:r>
      <w:r w:rsidR="00F879E9" w:rsidRPr="00D7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ГЛЛ, шляхом </w:t>
      </w:r>
      <w:r w:rsidR="00D72D20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</w:t>
      </w:r>
      <w:r w:rsidR="00D72D2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7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 розроблених лікувально-профілактичних комплексів можна зробити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такі </w:t>
      </w:r>
      <w:r w:rsidR="00D7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висновки</w:t>
      </w:r>
      <w:r w:rsidR="00F879E9" w:rsidRPr="00D7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F879E9" w:rsidRPr="00D72D20" w:rsidRDefault="00D72D20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онкогематоло</w:t>
      </w:r>
      <w:r w:rsidR="002B4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гічні захворювання (ГЛЛ)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B4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ітей та їх специфічне лік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 призводить до процесів запалення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тканинах пародонту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викликає виразкові та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 ураження СОПР, які характеризуються появою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бряку, гіперемії, кровоточивості ясен, виразкового та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ного стомат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</w:t>
      </w:r>
      <w:r w:rsidR="00F879E9" w:rsidRPr="00D72D2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879E9" w:rsidRPr="00966737" w:rsidRDefault="00D72D20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розроблений метод лікування з використанням лізоцим</w:t>
      </w:r>
      <w:r w:rsidR="002A55AD">
        <w:rPr>
          <w:rFonts w:ascii="Times New Roman" w:eastAsia="Times New Roman" w:hAnsi="Times New Roman" w:cs="Times New Roman"/>
          <w:sz w:val="28"/>
          <w:szCs w:val="28"/>
          <w:lang w:val="uk-UA"/>
        </w:rPr>
        <w:t>овміс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ного 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ного еліксиру, кверцетин</w:t>
      </w:r>
      <w:r w:rsidR="002A55AD">
        <w:rPr>
          <w:rFonts w:ascii="Times New Roman" w:eastAsia="Times New Roman" w:hAnsi="Times New Roman" w:cs="Times New Roman"/>
          <w:sz w:val="28"/>
          <w:szCs w:val="28"/>
          <w:lang w:val="uk-UA"/>
        </w:rPr>
        <w:t>овміс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мукозального гелю, гелю з поліфенолами, флавонолами, препаратом антиоксидантних вітамінів комбінації із сумішшю бісульфату алкалоїдів </w:t>
      </w:r>
      <w:r w:rsidR="000143CF">
        <w:rPr>
          <w:rFonts w:ascii="Times New Roman" w:eastAsia="Times New Roman" w:hAnsi="Times New Roman" w:cs="Times New Roman"/>
          <w:sz w:val="28"/>
          <w:szCs w:val="28"/>
          <w:lang w:val="uk-UA"/>
        </w:rPr>
        <w:t>сангвінарину та хелеритрину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пробіотичного та прот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грибкового препаратів, має достатньо виражені протизапальні та протина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рякові, протимікробні, кератопластичні та протигрибкові властивості, а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кож виклика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позитивні зміни гігієнічного стану порожнини рота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сіх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стежених дітей</w:t>
      </w:r>
      <w:r w:rsidR="00F879E9" w:rsidRPr="00D72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цьому більш стабільним даний ефект був встановлений у дітей, онкогематологічн</w:t>
      </w:r>
      <w:r w:rsidR="002B43FB">
        <w:rPr>
          <w:rFonts w:ascii="Times New Roman" w:eastAsia="Times New Roman" w:hAnsi="Times New Roman" w:cs="Times New Roman"/>
          <w:sz w:val="28"/>
          <w:szCs w:val="28"/>
          <w:lang w:val="uk-UA"/>
        </w:rPr>
        <w:t>е захворювання яких знаходилося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4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періоді ремісії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9E9" w:rsidRPr="00966737" w:rsidRDefault="00D72D20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фоні лікування ГЛЛ у дітей встановлені зміни властивостей ротової рідини, які характеризувалися низьким вихідним рівнем процесів слиноутв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рення та слиновиділення, а також високим рівнем в</w:t>
      </w:r>
      <w:r w:rsidRPr="00D72D20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язкості ротової рідини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Максимальні зміни були встановлені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 онкогематологічне захворюва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яких знаходилося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 гострому періоді та в періоді рецидиву, але вони можуть бути скориговані за допомогою розроблених лікувально-профілактичних комплексів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879E9" w:rsidRPr="00966737" w:rsidRDefault="00773228" w:rsidP="00F87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лікування запальних,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них та виразкових уражень СОПР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розробленими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ЛПК у всіх обстежених дітей знижувалися такі біох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мічні показники ротової рідини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рівень маркер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запалення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(МДА), 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>маркер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мікробного обсіменіння (уреази),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дисбіозу,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A120E" w:rsidRPr="004A12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язкості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ротової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рідини, та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збільшувалися показники неспецифічної резистентності 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порожнині рота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>лізоцим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, HNP 1-3), 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>антиоксидантної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(каталаза)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Найбільші зміни біохімічних показників ротової рідини встановлені </w:t>
      </w:r>
      <w:r w:rsidR="00C55E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виразковим та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стоматитом у порожнині рота </w:t>
      </w:r>
      <w:r w:rsidR="00C55E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A1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рецидиву ГЛЛ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879E9" w:rsidRDefault="004A120E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проведені лікувальні заходи </w:t>
      </w:r>
      <w:r w:rsidR="002A55AD">
        <w:rPr>
          <w:rFonts w:ascii="Times New Roman" w:eastAsia="Times New Roman" w:hAnsi="Times New Roman" w:cs="Times New Roman"/>
          <w:sz w:val="28"/>
          <w:szCs w:val="28"/>
          <w:lang w:val="uk-UA"/>
        </w:rPr>
        <w:t>за допомогою розроблених ЛПК 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EF049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 всі досліджувані біохімічні маркери протягом всього періоду спостер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ження</w:t>
      </w:r>
      <w:r w:rsidR="00F879E9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56E" w:rsidRDefault="0058456E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56E" w:rsidRDefault="0058456E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56E" w:rsidRDefault="0058456E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56E" w:rsidRDefault="0058456E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56E" w:rsidRDefault="0058456E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56E" w:rsidRDefault="0058456E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5CF" w:rsidRPr="000E4E1E" w:rsidRDefault="00E025CF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B9" w:rsidRPr="000E4E1E" w:rsidRDefault="006E3EB9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B9" w:rsidRPr="000E4E1E" w:rsidRDefault="006E3EB9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B9" w:rsidRPr="000E4E1E" w:rsidRDefault="006E3EB9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B9" w:rsidRPr="000E4E1E" w:rsidRDefault="006E3EB9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B9" w:rsidRPr="000E4E1E" w:rsidRDefault="006E3EB9" w:rsidP="00AD4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56E" w:rsidRPr="00994481" w:rsidRDefault="0058456E" w:rsidP="009944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79E9" w:rsidRPr="00966737" w:rsidRDefault="00F879E9" w:rsidP="00F87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737" w:rsidRPr="00994481" w:rsidRDefault="00F4738A" w:rsidP="009944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E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АНАЛІЗ ТА УЗАГАЛЬНЕННЯ РЕЗУЛЬТАТІВ ЛІКУВАННЯ</w:t>
      </w:r>
    </w:p>
    <w:p w:rsidR="00966737" w:rsidRPr="0030021B" w:rsidRDefault="00F4738A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Серед проблем сучасної стоматології провідне місце у сьогоднішній час займають питання поєднаних уражень порожнини рота та внутрішніх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ганів, оскільки дозволяють відобразити сутність генез</w:t>
      </w:r>
      <w:r w:rsidR="00DE0B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захворювань, що проявляються на її слизовій оболонці. Слизова оболонка порожнини рота, як і організм в цілому, сприйнятлива до дії екзо- та ендогенних факторів, які провокують її захворювання. Зміни СОПР часто бувають першими ознаками </w:t>
      </w:r>
      <w:r w:rsidR="0096673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маркерами виникаючих загальносоматичних патологічних процесів,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вчення яких дозволяє проводити ранню діагностику багатьох захворювань </w:t>
      </w:r>
      <w:r w:rsid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внутрішніх органів</w:t>
      </w:r>
      <w:r w:rsidR="0096673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[1</w:t>
      </w:r>
      <w:r w:rsidR="008147A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6,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8147A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17</w:t>
      </w:r>
      <w:r w:rsidR="0096673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]. </w:t>
      </w:r>
    </w:p>
    <w:p w:rsidR="00966737" w:rsidRPr="00C57E49" w:rsidRDefault="0030021B" w:rsidP="00C57E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Патологічні процеси, що виникають у кровотворчій системі при гос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рому лейкозі, мають у тій чи іншій мірі своє відображення </w:t>
      </w:r>
      <w:r w:rsidR="00DE0B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DE0B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сіх тканинах організму, але </w:t>
      </w:r>
      <w:r w:rsidR="00DE0B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найбільш ранні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та достатньо чітко виражені порушення визн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чаються </w:t>
      </w:r>
      <w:r w:rsidR="0096673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на СОПР [</w:t>
      </w:r>
      <w:r w:rsidR="008147A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3,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8147A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5,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8147A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9,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8147A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10,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8147A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32</w:t>
      </w:r>
      <w:r w:rsidR="00966737" w:rsidRPr="003002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].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Ураження слизової оболонки порожнини рота при онкогематологічних захворюваннях є предметом пильної уваги вч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них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[</w:t>
      </w:r>
      <w:r w:rsidR="008147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36-42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],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а дослідження різних авторів встановили, що зміни СОПР при гострому лейкозі спостерігаються у 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72-91%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випадків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[</w:t>
      </w:r>
      <w:r w:rsidR="00966737" w:rsidRPr="008147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4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8,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50,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53</w:t>
      </w:r>
      <w:r w:rsidR="00966737" w:rsidRPr="008147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].</w:t>
      </w:r>
    </w:p>
    <w:p w:rsidR="00966737" w:rsidRPr="00966737" w:rsidRDefault="00367E39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 Україні за останні роки виявлен</w:t>
      </w:r>
      <w:r w:rsidR="00DE0B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тенденці</w:t>
      </w:r>
      <w:r w:rsidR="00DE0B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до збільшення розвитку та розповсюдженості різних форм лейкемії, у тому числі гострих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від 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3,2 до 4,4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випадків на 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100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тисяч дитячого населення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</w:p>
    <w:p w:rsidR="00966737" w:rsidRPr="00966737" w:rsidRDefault="00367E39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При захворюваннях різними формами лейкемії </w:t>
      </w:r>
      <w:r w:rsidR="00DE0B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дітей уражуються не лише внутрішні органи та системи, пригнічується загальна реактивність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ганізму, але й пошкоджується слизова оболонка порожнини рота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[</w:t>
      </w:r>
      <w:r w:rsidR="00966737" w:rsidRP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9,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966737" w:rsidRP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10,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966737" w:rsidRP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11,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966737" w:rsidRP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12].</w:t>
      </w:r>
    </w:p>
    <w:p w:rsidR="00966737" w:rsidRPr="00966737" w:rsidRDefault="00367E39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За даними багатьох вчених</w:t>
      </w:r>
      <w:r w:rsidR="00DE0B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у дітей з онкопатологією крові у 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19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-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89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%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випадків, незалежно від її форми та тяжкості, спостерігаються ураження сл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зової оболонки порожнини рота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[</w:t>
      </w:r>
      <w:r w:rsidR="00966737" w:rsidRP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36, 38, 92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].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Основними симптомами захв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рювань слизової оболонки порожнини рота є геморагічні  прояви, виразково-некротичні процеси, грибкові ураження та герпетична інфекція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</w:p>
    <w:p w:rsidR="00966737" w:rsidRPr="00966737" w:rsidRDefault="00367E39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lastRenderedPageBreak/>
        <w:t>Великий вплив на розвиток вищезазначених оральних синдромів здій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нюють імунні зміщення та секреторний дисбаланс, що розвивається у даної групи пацієнтів після проведення курсів специфічного лікування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[</w:t>
      </w:r>
      <w:r w:rsidR="00966737" w:rsidRP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4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4</w:t>
      </w:r>
      <w:r w:rsidR="00966737" w:rsidRP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47</w:t>
      </w:r>
      <w:r w:rsidR="00966737" w:rsidRP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48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]. </w:t>
      </w:r>
    </w:p>
    <w:p w:rsidR="00966737" w:rsidRPr="00367E39" w:rsidRDefault="00367E39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Стоматологічний статус дітей з гострим лімфобластним лейкозом 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лишається маловивченим питанням. Досліджень, присвячених вивченню проведення лікувальних та профілактичних заходів стоматологічних захв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рювань, які протікають у дітей з гострим лімфобластним лейкозом</w:t>
      </w:r>
      <w:r w:rsidR="00FD1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недоста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ньо. Введення сучасних схем лікування та досягнення тривалих ремісій у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тей з даною онкопатологією крові призвели </w:t>
      </w:r>
      <w:r w:rsidR="00FD1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до </w:t>
      </w:r>
      <w:r w:rsidR="00FD1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появи нової групи пацієнтів, що потребують не лише комплексного лікування стоматологічних захвор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вань, але й </w:t>
      </w:r>
      <w:r w:rsidR="00FD1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профілактики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їх виникнення</w:t>
      </w:r>
      <w:r w:rsidR="00966737" w:rsidRPr="00367E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. </w:t>
      </w:r>
    </w:p>
    <w:p w:rsidR="00966737" w:rsidRPr="00966737" w:rsidRDefault="000C7382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Патологічні процеси в організмі при онкозахворюваннях крові </w:t>
      </w:r>
      <w:r w:rsidR="00FD1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дітей викликають значні зміни </w:t>
      </w:r>
      <w:r w:rsidR="00FD1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 w:rsidR="00741F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їх імунологічному статусі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966737" w:rsidRP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[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5</w:t>
      </w:r>
      <w:r w:rsidR="00966737" w:rsidRP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3,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54,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61,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62,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67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]. </w:t>
      </w:r>
      <w:r w:rsidR="00741F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</w:t>
      </w:r>
      <w:r w:rsidR="00741F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е</w:t>
      </w:r>
      <w:r w:rsidR="00741F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розривною та співпідлеглою частиною загального імунітету є місцевий ім</w:t>
      </w:r>
      <w:r w:rsidR="00741F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</w:t>
      </w:r>
      <w:r w:rsidR="00741F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нітет, який відображає загальну імунологічну реактивність на рівні СОПР та відіграє важливу роль у виникненні змін у порожнині рота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[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74,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75,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81,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88,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6353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91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]. </w:t>
      </w:r>
    </w:p>
    <w:p w:rsidR="00966737" w:rsidRPr="00966737" w:rsidRDefault="00741F70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Однак стан місцевого імунітету порожнини рота при ГЛЛ у дітей </w:t>
      </w:r>
      <w:r w:rsidR="0006573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рі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ні періоди його перебі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г</w:t>
      </w:r>
      <w:r w:rsidR="00F80B1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 до кінця не вивчений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</w:p>
    <w:p w:rsidR="00966737" w:rsidRPr="00966737" w:rsidRDefault="00741F70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Крім того</w:t>
      </w:r>
      <w:r w:rsidR="00C57E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дан</w:t>
      </w:r>
      <w:r w:rsidR="00745F5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диференцій</w:t>
      </w:r>
      <w:r w:rsidR="00FD1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дослідженн</w:t>
      </w:r>
      <w:r w:rsidR="00FD1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мікробного складу у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рожнині рота та дослідження букального епітелію </w:t>
      </w:r>
      <w:r w:rsidR="00FD1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різні періоди перебігу гострих лейкозів у дитячому віці також недостатньо висвітлені </w:t>
      </w:r>
      <w:r w:rsidR="00FD1E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науковій літературі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</w:p>
    <w:p w:rsidR="00966737" w:rsidRPr="00966737" w:rsidRDefault="00741F70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Тому, окрім вивчення клінічних проявів гострих форм лейкозу на сл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зовій оболонці порожнини рота, великий інтерес для дослідників представляє вивчення змін місцевого імунітету та мікробіоценозу порожнини рота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</w:p>
    <w:p w:rsidR="00966737" w:rsidRPr="00966737" w:rsidRDefault="000446EA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Таким чином, зростання захворюваності гострих форм лейкозу </w:t>
      </w:r>
      <w:r w:rsidR="0006573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чому віці, частота виникнення патологічних змін СОПР у даній категорії хворих та відсутність диференційного підходу до їх лікування та профілакт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ки їх виникнення,</w:t>
      </w:r>
      <w:r w:rsidR="00B14CC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диктують необхідність у подальш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ому комплексному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lastRenderedPageBreak/>
        <w:t xml:space="preserve">вченні патологічних процесів на СОПР з метою підвищення ефективності лікування та профілактики різних форм </w:t>
      </w:r>
      <w:r w:rsidR="00B14CC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ураження СОПР.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</w:p>
    <w:p w:rsidR="00966737" w:rsidRPr="00966737" w:rsidRDefault="000446EA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Для досягнення поставленої мети нами були визначені та виконані </w:t>
      </w:r>
      <w:r w:rsidR="0006573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такі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задачі: вивчені клінічні прояви уражень слизової оболонки порожнини рота, особливості мікробіоценозу, стан неспецифічних адаптаційних реакцій орг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нізму та показників імунітету </w:t>
      </w:r>
      <w:r w:rsidR="0006573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дітей з гострим лімфобластним лейкозом, а також розроблені методи диференційної корекції встановлених порушень та дана оцінка ефективності розробленого комплексного лікування </w:t>
      </w:r>
      <w:r w:rsidR="0006573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найближчі та віддалені строки спостереження</w:t>
      </w:r>
      <w:r w:rsidR="00966737" w:rsidRPr="00966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</w:p>
    <w:p w:rsidR="00966737" w:rsidRPr="00966737" w:rsidRDefault="000446EA" w:rsidP="00966737">
      <w:pPr>
        <w:pStyle w:val="12"/>
        <w:spacing w:before="0" w:after="0" w:line="360" w:lineRule="auto"/>
        <w:ind w:right="20" w:firstLine="700"/>
        <w:jc w:val="both"/>
        <w:rPr>
          <w:rFonts w:eastAsia="Times New Roman"/>
          <w:sz w:val="28"/>
          <w:szCs w:val="28"/>
        </w:rPr>
      </w:pPr>
      <w:r w:rsidRPr="00C57E49">
        <w:rPr>
          <w:rFonts w:eastAsia="Times New Roman"/>
          <w:sz w:val="28"/>
          <w:szCs w:val="28"/>
          <w:lang w:val="uk-UA"/>
        </w:rPr>
        <w:t>Для отримання результатів епідеміологічного обстеження дітей з гос</w:t>
      </w:r>
      <w:r w:rsidRPr="00C57E49">
        <w:rPr>
          <w:rFonts w:eastAsia="Times New Roman"/>
          <w:sz w:val="28"/>
          <w:szCs w:val="28"/>
          <w:lang w:val="uk-UA"/>
        </w:rPr>
        <w:t>т</w:t>
      </w:r>
      <w:r w:rsidRPr="00C57E49">
        <w:rPr>
          <w:rFonts w:eastAsia="Times New Roman"/>
          <w:sz w:val="28"/>
          <w:szCs w:val="28"/>
          <w:lang w:val="uk-UA"/>
        </w:rPr>
        <w:t>рим лімфобластним лейкозом та загальної характеристики, структурн</w:t>
      </w:r>
      <w:r w:rsidR="00C57E49" w:rsidRPr="00C57E49">
        <w:rPr>
          <w:rFonts w:eastAsia="Times New Roman"/>
          <w:sz w:val="28"/>
          <w:szCs w:val="28"/>
          <w:lang w:val="uk-UA"/>
        </w:rPr>
        <w:t>ого аналізу розповсюдженості ст</w:t>
      </w:r>
      <w:r w:rsidRPr="00C57E49">
        <w:rPr>
          <w:rFonts w:eastAsia="Times New Roman"/>
          <w:sz w:val="28"/>
          <w:szCs w:val="28"/>
          <w:lang w:val="uk-UA"/>
        </w:rPr>
        <w:t>о</w:t>
      </w:r>
      <w:r w:rsidR="00C57E49" w:rsidRPr="00C57E49">
        <w:rPr>
          <w:rFonts w:eastAsia="Times New Roman"/>
          <w:sz w:val="28"/>
          <w:szCs w:val="28"/>
          <w:lang w:val="uk-UA"/>
        </w:rPr>
        <w:t>м</w:t>
      </w:r>
      <w:r w:rsidRPr="00C57E49">
        <w:rPr>
          <w:rFonts w:eastAsia="Times New Roman"/>
          <w:sz w:val="28"/>
          <w:szCs w:val="28"/>
          <w:lang w:val="uk-UA"/>
        </w:rPr>
        <w:t>атологічних захворювань нами було обстеж</w:t>
      </w:r>
      <w:r w:rsidRPr="00C57E49">
        <w:rPr>
          <w:rFonts w:eastAsia="Times New Roman"/>
          <w:sz w:val="28"/>
          <w:szCs w:val="28"/>
          <w:lang w:val="uk-UA"/>
        </w:rPr>
        <w:t>е</w:t>
      </w:r>
      <w:r w:rsidRPr="00C57E49">
        <w:rPr>
          <w:rFonts w:eastAsia="Times New Roman"/>
          <w:sz w:val="28"/>
          <w:szCs w:val="28"/>
          <w:lang w:val="uk-UA"/>
        </w:rPr>
        <w:t xml:space="preserve">но всього </w:t>
      </w:r>
      <w:r w:rsidR="00966737" w:rsidRPr="00C57E49">
        <w:rPr>
          <w:rFonts w:eastAsia="Times New Roman"/>
          <w:sz w:val="28"/>
          <w:szCs w:val="28"/>
        </w:rPr>
        <w:t xml:space="preserve">126 </w:t>
      </w:r>
      <w:r w:rsidRPr="00C57E49">
        <w:rPr>
          <w:rFonts w:eastAsia="Times New Roman"/>
          <w:sz w:val="28"/>
          <w:szCs w:val="28"/>
          <w:lang w:val="uk-UA"/>
        </w:rPr>
        <w:t xml:space="preserve">дітей з ГЛЛ у віці від </w:t>
      </w:r>
      <w:r w:rsidR="00966737" w:rsidRPr="00C57E49">
        <w:rPr>
          <w:rFonts w:eastAsia="Times New Roman"/>
          <w:sz w:val="28"/>
          <w:szCs w:val="28"/>
        </w:rPr>
        <w:t xml:space="preserve">2 до 18 </w:t>
      </w:r>
      <w:r w:rsidRPr="00C57E49">
        <w:rPr>
          <w:rFonts w:eastAsia="Times New Roman"/>
          <w:sz w:val="28"/>
          <w:szCs w:val="28"/>
          <w:lang w:val="uk-UA"/>
        </w:rPr>
        <w:t xml:space="preserve">років. </w:t>
      </w:r>
      <w:r w:rsidR="00125851">
        <w:rPr>
          <w:rFonts w:eastAsia="Times New Roman"/>
          <w:sz w:val="28"/>
          <w:szCs w:val="28"/>
          <w:lang w:val="uk-UA"/>
        </w:rPr>
        <w:t>У</w:t>
      </w:r>
      <w:r w:rsidRPr="00C57E49">
        <w:rPr>
          <w:rFonts w:eastAsia="Times New Roman"/>
          <w:sz w:val="28"/>
          <w:szCs w:val="28"/>
          <w:lang w:val="uk-UA"/>
        </w:rPr>
        <w:t>сі обстежені діти знах</w:t>
      </w:r>
      <w:r w:rsidRPr="00C57E49">
        <w:rPr>
          <w:rFonts w:eastAsia="Times New Roman"/>
          <w:sz w:val="28"/>
          <w:szCs w:val="28"/>
          <w:lang w:val="uk-UA"/>
        </w:rPr>
        <w:t>о</w:t>
      </w:r>
      <w:r w:rsidRPr="00C57E49">
        <w:rPr>
          <w:rFonts w:eastAsia="Times New Roman"/>
          <w:sz w:val="28"/>
          <w:szCs w:val="28"/>
          <w:lang w:val="uk-UA"/>
        </w:rPr>
        <w:t xml:space="preserve">дилися на лікуванні </w:t>
      </w:r>
      <w:r w:rsidR="00125851">
        <w:rPr>
          <w:rFonts w:eastAsia="Times New Roman"/>
          <w:sz w:val="28"/>
          <w:szCs w:val="28"/>
          <w:lang w:val="uk-UA"/>
        </w:rPr>
        <w:t>в</w:t>
      </w:r>
      <w:r w:rsidRPr="00C57E49">
        <w:rPr>
          <w:rFonts w:eastAsia="Times New Roman"/>
          <w:sz w:val="28"/>
          <w:szCs w:val="28"/>
          <w:lang w:val="uk-UA"/>
        </w:rPr>
        <w:t xml:space="preserve"> онкогематологічному відділенні КЗ </w:t>
      </w:r>
      <w:r w:rsidR="00C57E49" w:rsidRPr="00C57E49">
        <w:rPr>
          <w:rFonts w:eastAsia="Times New Roman"/>
          <w:sz w:val="28"/>
          <w:szCs w:val="28"/>
          <w:lang w:val="uk-UA"/>
        </w:rPr>
        <w:t>«</w:t>
      </w:r>
      <w:r w:rsidRPr="00C57E49">
        <w:rPr>
          <w:rFonts w:eastAsia="Times New Roman"/>
          <w:sz w:val="28"/>
          <w:szCs w:val="28"/>
          <w:lang w:val="uk-UA"/>
        </w:rPr>
        <w:t>Дніпропетровська обласна дитяча клінічна лікарня</w:t>
      </w:r>
      <w:r w:rsidR="00C57E49" w:rsidRPr="00C57E49">
        <w:rPr>
          <w:rFonts w:eastAsia="Times New Roman"/>
          <w:sz w:val="28"/>
          <w:szCs w:val="28"/>
          <w:lang w:val="uk-UA"/>
        </w:rPr>
        <w:t>»</w:t>
      </w:r>
      <w:r w:rsidR="00966737" w:rsidRPr="00C57E49">
        <w:rPr>
          <w:rFonts w:eastAsia="Times New Roman"/>
          <w:sz w:val="28"/>
          <w:szCs w:val="28"/>
          <w:lang w:val="uk-UA"/>
        </w:rPr>
        <w:t>.</w:t>
      </w:r>
      <w:r w:rsidR="00966737" w:rsidRPr="000446EA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Серед них 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– 44 </w:t>
      </w:r>
      <w:r>
        <w:rPr>
          <w:rFonts w:eastAsia="Times New Roman"/>
          <w:sz w:val="28"/>
          <w:szCs w:val="28"/>
          <w:lang w:val="uk-UA"/>
        </w:rPr>
        <w:t xml:space="preserve">дівчинки, що складає 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34,9% </w:t>
      </w:r>
      <w:r>
        <w:rPr>
          <w:rFonts w:eastAsia="Times New Roman"/>
          <w:sz w:val="28"/>
          <w:szCs w:val="28"/>
          <w:lang w:val="uk-UA"/>
        </w:rPr>
        <w:t>та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 82 </w:t>
      </w:r>
      <w:r>
        <w:rPr>
          <w:rFonts w:eastAsia="Times New Roman"/>
          <w:sz w:val="28"/>
          <w:szCs w:val="28"/>
          <w:lang w:val="uk-UA"/>
        </w:rPr>
        <w:t>хлопчик</w:t>
      </w:r>
      <w:r w:rsidR="00125851">
        <w:rPr>
          <w:rFonts w:eastAsia="Times New Roman"/>
          <w:sz w:val="28"/>
          <w:szCs w:val="28"/>
          <w:lang w:val="uk-UA"/>
        </w:rPr>
        <w:t>и,</w:t>
      </w:r>
      <w:r>
        <w:rPr>
          <w:rFonts w:eastAsia="Times New Roman"/>
          <w:sz w:val="28"/>
          <w:szCs w:val="28"/>
          <w:lang w:val="uk-UA"/>
        </w:rPr>
        <w:t xml:space="preserve"> і це відповідає 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65,1%. </w:t>
      </w:r>
      <w:r w:rsidR="00125851">
        <w:rPr>
          <w:rFonts w:eastAsia="Times New Roman"/>
          <w:sz w:val="28"/>
          <w:szCs w:val="28"/>
          <w:lang w:val="uk-UA"/>
        </w:rPr>
        <w:t>У</w:t>
      </w:r>
      <w:r>
        <w:rPr>
          <w:rFonts w:eastAsia="Times New Roman"/>
          <w:sz w:val="28"/>
          <w:szCs w:val="28"/>
          <w:lang w:val="uk-UA"/>
        </w:rPr>
        <w:t>сі обстежені пацієнти були поділені на 3 підгрупи залежно від клінічного перебігу гострого лімфоблас</w:t>
      </w:r>
      <w:r>
        <w:rPr>
          <w:rFonts w:eastAsia="Times New Roman"/>
          <w:sz w:val="28"/>
          <w:szCs w:val="28"/>
          <w:lang w:val="uk-UA"/>
        </w:rPr>
        <w:t>т</w:t>
      </w:r>
      <w:r>
        <w:rPr>
          <w:rFonts w:eastAsia="Times New Roman"/>
          <w:sz w:val="28"/>
          <w:szCs w:val="28"/>
          <w:lang w:val="uk-UA"/>
        </w:rPr>
        <w:t>ного лейкозу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: 1 </w:t>
      </w:r>
      <w:r>
        <w:rPr>
          <w:rFonts w:eastAsia="Times New Roman"/>
          <w:sz w:val="28"/>
          <w:szCs w:val="28"/>
          <w:lang w:val="uk-UA"/>
        </w:rPr>
        <w:t xml:space="preserve">підгрупа </w:t>
      </w:r>
      <w:r w:rsidR="00C57E49" w:rsidRPr="00125851">
        <w:rPr>
          <w:rFonts w:eastAsia="Times New Roman"/>
          <w:sz w:val="28"/>
          <w:szCs w:val="28"/>
          <w:lang w:val="uk-UA"/>
        </w:rPr>
        <w:t>–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це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 61 </w:t>
      </w:r>
      <w:r>
        <w:rPr>
          <w:rFonts w:eastAsia="Times New Roman"/>
          <w:sz w:val="28"/>
          <w:szCs w:val="28"/>
          <w:lang w:val="uk-UA"/>
        </w:rPr>
        <w:t>дитина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 (48,4%) </w:t>
      </w:r>
      <w:r>
        <w:rPr>
          <w:rFonts w:eastAsia="Times New Roman"/>
          <w:sz w:val="28"/>
          <w:szCs w:val="28"/>
          <w:lang w:val="uk-UA"/>
        </w:rPr>
        <w:t>з першим гострим періодом ГЛЛ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; 2 </w:t>
      </w:r>
      <w:r>
        <w:rPr>
          <w:rFonts w:eastAsia="Times New Roman"/>
          <w:sz w:val="28"/>
          <w:szCs w:val="28"/>
          <w:lang w:val="uk-UA"/>
        </w:rPr>
        <w:t xml:space="preserve">підгрупа складала 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30 </w:t>
      </w:r>
      <w:r>
        <w:rPr>
          <w:rFonts w:eastAsia="Times New Roman"/>
          <w:sz w:val="28"/>
          <w:szCs w:val="28"/>
          <w:lang w:val="uk-UA"/>
        </w:rPr>
        <w:t>дітей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 (23,8%) </w:t>
      </w:r>
      <w:r>
        <w:rPr>
          <w:rFonts w:eastAsia="Times New Roman"/>
          <w:sz w:val="28"/>
          <w:szCs w:val="28"/>
          <w:lang w:val="uk-UA"/>
        </w:rPr>
        <w:t>з ГЛЛ у стадії ремісії, а до 3 під</w:t>
      </w:r>
      <w:r>
        <w:rPr>
          <w:rFonts w:eastAsia="Times New Roman"/>
          <w:sz w:val="28"/>
          <w:szCs w:val="28"/>
          <w:lang w:val="uk-UA"/>
        </w:rPr>
        <w:t>г</w:t>
      </w:r>
      <w:r>
        <w:rPr>
          <w:rFonts w:eastAsia="Times New Roman"/>
          <w:sz w:val="28"/>
          <w:szCs w:val="28"/>
          <w:lang w:val="uk-UA"/>
        </w:rPr>
        <w:t xml:space="preserve">рупи </w:t>
      </w:r>
      <w:r w:rsidR="00EC47CC">
        <w:rPr>
          <w:rFonts w:eastAsia="Times New Roman"/>
          <w:sz w:val="28"/>
          <w:szCs w:val="28"/>
          <w:lang w:val="uk-UA"/>
        </w:rPr>
        <w:t>у</w:t>
      </w:r>
      <w:r>
        <w:rPr>
          <w:rFonts w:eastAsia="Times New Roman"/>
          <w:sz w:val="28"/>
          <w:szCs w:val="28"/>
          <w:lang w:val="uk-UA"/>
        </w:rPr>
        <w:t xml:space="preserve">війшли 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35 </w:t>
      </w:r>
      <w:r>
        <w:rPr>
          <w:rFonts w:eastAsia="Times New Roman"/>
          <w:sz w:val="28"/>
          <w:szCs w:val="28"/>
          <w:lang w:val="uk-UA"/>
        </w:rPr>
        <w:t>пацієнтів</w:t>
      </w:r>
      <w:r w:rsidR="00966737" w:rsidRPr="00125851">
        <w:rPr>
          <w:rFonts w:eastAsia="Times New Roman"/>
          <w:sz w:val="28"/>
          <w:szCs w:val="28"/>
          <w:lang w:val="uk-UA"/>
        </w:rPr>
        <w:t xml:space="preserve"> (27,8%) </w:t>
      </w:r>
      <w:r>
        <w:rPr>
          <w:rFonts w:eastAsia="Times New Roman"/>
          <w:sz w:val="28"/>
          <w:szCs w:val="28"/>
          <w:lang w:val="uk-UA"/>
        </w:rPr>
        <w:t xml:space="preserve">з рецидивом ГЛЛ. У кожній підгрупі </w:t>
      </w:r>
      <w:r w:rsidR="00125851">
        <w:rPr>
          <w:rFonts w:eastAsia="Times New Roman"/>
          <w:sz w:val="28"/>
          <w:szCs w:val="28"/>
          <w:lang w:val="uk-UA"/>
        </w:rPr>
        <w:t>в</w:t>
      </w:r>
      <w:r>
        <w:rPr>
          <w:rFonts w:eastAsia="Times New Roman"/>
          <w:sz w:val="28"/>
          <w:szCs w:val="28"/>
          <w:lang w:val="uk-UA"/>
        </w:rPr>
        <w:t xml:space="preserve"> пацієнтів вивчали показники гігієни порожнини рота та стан тканин парод</w:t>
      </w:r>
      <w:r>
        <w:rPr>
          <w:rFonts w:eastAsia="Times New Roman"/>
          <w:sz w:val="28"/>
          <w:szCs w:val="28"/>
          <w:lang w:val="uk-UA"/>
        </w:rPr>
        <w:t>о</w:t>
      </w:r>
      <w:r>
        <w:rPr>
          <w:rFonts w:eastAsia="Times New Roman"/>
          <w:sz w:val="28"/>
          <w:szCs w:val="28"/>
          <w:lang w:val="uk-UA"/>
        </w:rPr>
        <w:t>нту за допомогою індексної оцінки, прояву на слизовій оболонці порожнини рота</w:t>
      </w:r>
      <w:r w:rsidR="00966737" w:rsidRPr="00966737">
        <w:rPr>
          <w:rFonts w:eastAsia="Times New Roman"/>
          <w:sz w:val="28"/>
          <w:szCs w:val="28"/>
        </w:rPr>
        <w:t>.</w:t>
      </w:r>
    </w:p>
    <w:p w:rsidR="00966737" w:rsidRPr="00966737" w:rsidRDefault="000446EA" w:rsidP="00966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скарги на зміни 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щелепно-лицевій </w:t>
      </w:r>
      <w:r w:rsidR="00D67B70">
        <w:rPr>
          <w:rFonts w:ascii="Times New Roman" w:eastAsia="Times New Roman" w:hAnsi="Times New Roman" w:cs="Times New Roman"/>
          <w:sz w:val="28"/>
          <w:szCs w:val="28"/>
          <w:lang w:val="uk-UA"/>
        </w:rPr>
        <w:t>ділянці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сіх групах хв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рих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гостри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лімфобластни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лейкоз 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включали в себе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лімф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вузлів, болючість у порожнині рота, кровоточивість ясен при чи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>щенні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зубів та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прийом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їжі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наявність гіпертрофії ясен, сухість порожнин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рота, наліт на язику. Діти з гострим лімфобластним лейкозом також скаржилися на порушення смакового сприйняття, на неприємний запах з роту, почуття 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міння в інтактних зубах та язи</w:t>
      </w:r>
      <w:r w:rsidR="007D722C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6737" w:rsidRPr="00966737" w:rsidRDefault="007D722C" w:rsidP="00966737">
      <w:pPr>
        <w:pStyle w:val="12"/>
        <w:shd w:val="clear" w:color="auto" w:fill="auto"/>
        <w:spacing w:before="0" w:after="0" w:line="360" w:lineRule="auto"/>
        <w:ind w:left="40" w:right="40" w:firstLine="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lastRenderedPageBreak/>
        <w:t>При об</w:t>
      </w:r>
      <w:r w:rsidRPr="007D722C">
        <w:rPr>
          <w:rFonts w:eastAsia="Times New Roman"/>
          <w:sz w:val="28"/>
          <w:szCs w:val="28"/>
        </w:rPr>
        <w:t>’</w:t>
      </w:r>
      <w:r>
        <w:rPr>
          <w:rFonts w:eastAsia="Times New Roman"/>
          <w:sz w:val="28"/>
          <w:szCs w:val="28"/>
          <w:lang w:val="uk-UA"/>
        </w:rPr>
        <w:t>єктивному дослідженні дітей з гострим лейкозом спостерігалися блідість шкірних покр</w:t>
      </w:r>
      <w:r w:rsidR="00125851">
        <w:rPr>
          <w:rFonts w:eastAsia="Times New Roman"/>
          <w:sz w:val="28"/>
          <w:szCs w:val="28"/>
          <w:lang w:val="uk-UA"/>
        </w:rPr>
        <w:t>и</w:t>
      </w:r>
      <w:r>
        <w:rPr>
          <w:rFonts w:eastAsia="Times New Roman"/>
          <w:sz w:val="28"/>
          <w:szCs w:val="28"/>
          <w:lang w:val="uk-UA"/>
        </w:rPr>
        <w:t>вів обличчя та слизової оболонки порожнини рота</w:t>
      </w:r>
      <w:r w:rsidR="00966737" w:rsidRPr="00966737">
        <w:rPr>
          <w:rFonts w:eastAsia="Times New Roman"/>
          <w:sz w:val="28"/>
          <w:szCs w:val="28"/>
        </w:rPr>
        <w:t xml:space="preserve"> (51,7%), </w:t>
      </w:r>
      <w:r>
        <w:rPr>
          <w:rFonts w:eastAsia="Times New Roman"/>
          <w:sz w:val="28"/>
          <w:szCs w:val="28"/>
          <w:lang w:val="uk-UA"/>
        </w:rPr>
        <w:t>збільшення шийних та підщелепних лімфовузлів</w:t>
      </w:r>
      <w:r w:rsidR="00966737" w:rsidRPr="00966737">
        <w:rPr>
          <w:rFonts w:eastAsia="Times New Roman"/>
          <w:sz w:val="28"/>
          <w:szCs w:val="28"/>
        </w:rPr>
        <w:t xml:space="preserve"> (46%), </w:t>
      </w:r>
      <w:r>
        <w:rPr>
          <w:rFonts w:eastAsia="Times New Roman"/>
          <w:sz w:val="28"/>
          <w:szCs w:val="28"/>
          <w:lang w:val="uk-UA"/>
        </w:rPr>
        <w:t>а також б</w:t>
      </w:r>
      <w:r>
        <w:rPr>
          <w:rFonts w:eastAsia="Times New Roman"/>
          <w:sz w:val="28"/>
          <w:szCs w:val="28"/>
          <w:lang w:val="uk-UA"/>
        </w:rPr>
        <w:t>у</w:t>
      </w:r>
      <w:r>
        <w:rPr>
          <w:rFonts w:eastAsia="Times New Roman"/>
          <w:sz w:val="28"/>
          <w:szCs w:val="28"/>
          <w:lang w:val="uk-UA"/>
        </w:rPr>
        <w:t xml:space="preserve">ли виявлені зміни з боку червоної </w:t>
      </w:r>
      <w:r w:rsidR="00D67B70">
        <w:rPr>
          <w:rFonts w:eastAsia="Times New Roman"/>
          <w:sz w:val="28"/>
          <w:szCs w:val="28"/>
          <w:lang w:val="uk-UA"/>
        </w:rPr>
        <w:t>обляминки</w:t>
      </w:r>
      <w:r>
        <w:rPr>
          <w:rFonts w:eastAsia="Times New Roman"/>
          <w:sz w:val="28"/>
          <w:szCs w:val="28"/>
          <w:lang w:val="uk-UA"/>
        </w:rPr>
        <w:t xml:space="preserve"> губ у вигляді шелушіння та с</w:t>
      </w:r>
      <w:r>
        <w:rPr>
          <w:rFonts w:eastAsia="Times New Roman"/>
          <w:sz w:val="28"/>
          <w:szCs w:val="28"/>
          <w:lang w:val="uk-UA"/>
        </w:rPr>
        <w:t>у</w:t>
      </w:r>
      <w:r>
        <w:rPr>
          <w:rFonts w:eastAsia="Times New Roman"/>
          <w:sz w:val="28"/>
          <w:szCs w:val="28"/>
          <w:lang w:val="uk-UA"/>
        </w:rPr>
        <w:t>хості, та була діагностована суха форма ексфоліативного хейліту</w:t>
      </w:r>
      <w:r w:rsidR="00966737" w:rsidRPr="00966737">
        <w:rPr>
          <w:rFonts w:eastAsia="Times New Roman"/>
          <w:sz w:val="28"/>
          <w:szCs w:val="28"/>
        </w:rPr>
        <w:t xml:space="preserve"> (2,1</w:t>
      </w:r>
      <w:r w:rsidR="006F7E0A">
        <w:rPr>
          <w:rFonts w:eastAsia="Times New Roman"/>
          <w:sz w:val="28"/>
          <w:szCs w:val="28"/>
          <w:lang w:val="uk-UA"/>
        </w:rPr>
        <w:t>-</w:t>
      </w:r>
      <w:r w:rsidR="00966737" w:rsidRPr="00966737">
        <w:rPr>
          <w:rFonts w:eastAsia="Times New Roman"/>
          <w:sz w:val="28"/>
          <w:szCs w:val="28"/>
        </w:rPr>
        <w:t xml:space="preserve">7,5%). </w:t>
      </w:r>
      <w:r>
        <w:rPr>
          <w:rFonts w:eastAsia="Times New Roman"/>
          <w:sz w:val="28"/>
          <w:szCs w:val="28"/>
          <w:lang w:val="uk-UA"/>
        </w:rPr>
        <w:t xml:space="preserve">Крім того, </w:t>
      </w:r>
      <w:r w:rsidR="00125851">
        <w:rPr>
          <w:rFonts w:eastAsia="Times New Roman"/>
          <w:sz w:val="28"/>
          <w:szCs w:val="28"/>
          <w:lang w:val="uk-UA"/>
        </w:rPr>
        <w:t>в</w:t>
      </w:r>
      <w:r>
        <w:rPr>
          <w:rFonts w:eastAsia="Times New Roman"/>
          <w:sz w:val="28"/>
          <w:szCs w:val="28"/>
          <w:lang w:val="uk-UA"/>
        </w:rPr>
        <w:t xml:space="preserve"> обстежених дітей встановлена висока розповсюджуваність ур</w:t>
      </w:r>
      <w:r>
        <w:rPr>
          <w:rFonts w:eastAsia="Times New Roman"/>
          <w:sz w:val="28"/>
          <w:szCs w:val="28"/>
          <w:lang w:val="uk-UA"/>
        </w:rPr>
        <w:t>а</w:t>
      </w:r>
      <w:r>
        <w:rPr>
          <w:rFonts w:eastAsia="Times New Roman"/>
          <w:sz w:val="28"/>
          <w:szCs w:val="28"/>
          <w:lang w:val="uk-UA"/>
        </w:rPr>
        <w:t>ження постійних зубів карієсом</w:t>
      </w:r>
      <w:r w:rsidR="00966737" w:rsidRPr="00966737">
        <w:rPr>
          <w:rFonts w:eastAsia="Times New Roman"/>
          <w:sz w:val="28"/>
          <w:szCs w:val="28"/>
        </w:rPr>
        <w:t xml:space="preserve"> –  76,2%.</w:t>
      </w:r>
    </w:p>
    <w:p w:rsidR="00966737" w:rsidRPr="00966737" w:rsidRDefault="007D722C" w:rsidP="00966737">
      <w:pPr>
        <w:pStyle w:val="12"/>
        <w:shd w:val="clear" w:color="auto" w:fill="auto"/>
        <w:spacing w:before="0" w:after="0" w:line="360" w:lineRule="auto"/>
        <w:ind w:left="40" w:right="40" w:firstLine="520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При огляді слизової оболонки порожнини рота </w:t>
      </w:r>
      <w:r w:rsidR="00125851">
        <w:rPr>
          <w:rFonts w:eastAsia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дітей з гострими ле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>й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>козами</w:t>
      </w:r>
      <w:r w:rsidR="00125851">
        <w:rPr>
          <w:rFonts w:eastAsia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 у першу чергу</w:t>
      </w:r>
      <w:r w:rsidR="00125851">
        <w:rPr>
          <w:rFonts w:eastAsia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звертає на себе увагу її різка блідість, цианотичність, що обумовлен</w:t>
      </w:r>
      <w:r w:rsidR="00125851">
        <w:rPr>
          <w:rFonts w:eastAsia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наявністю у хворих анемії</w:t>
      </w:r>
      <w:r w:rsidR="00966737" w:rsidRPr="00966737">
        <w:rPr>
          <w:rFonts w:eastAsia="Times New Roman"/>
          <w:sz w:val="28"/>
          <w:szCs w:val="28"/>
          <w:shd w:val="clear" w:color="auto" w:fill="FFFFFF"/>
        </w:rPr>
        <w:t xml:space="preserve">. </w:t>
      </w:r>
    </w:p>
    <w:p w:rsidR="00966737" w:rsidRPr="00966737" w:rsidRDefault="007D722C" w:rsidP="00966737">
      <w:pPr>
        <w:pStyle w:val="12"/>
        <w:shd w:val="clear" w:color="auto" w:fill="auto"/>
        <w:spacing w:before="0" w:after="0" w:line="360" w:lineRule="auto"/>
        <w:ind w:left="40" w:right="40" w:firstLine="520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val="uk-UA"/>
        </w:rPr>
        <w:t xml:space="preserve">При обстеженні тканин пародонту виявлені значні зміни </w:t>
      </w:r>
      <w:r w:rsidR="00125851">
        <w:rPr>
          <w:rFonts w:eastAsia="Times New Roman"/>
          <w:sz w:val="28"/>
          <w:szCs w:val="28"/>
          <w:lang w:val="uk-UA"/>
        </w:rPr>
        <w:t>в</w:t>
      </w:r>
      <w:r>
        <w:rPr>
          <w:rFonts w:eastAsia="Times New Roman"/>
          <w:sz w:val="28"/>
          <w:szCs w:val="28"/>
          <w:lang w:val="uk-UA"/>
        </w:rPr>
        <w:t xml:space="preserve"> стані ясен та міжзубних сосочків. Звертає на себе увагу набряк, гіперемія ясен, обмежені вогнища </w:t>
      </w:r>
      <w:r w:rsidRPr="006F7E0A">
        <w:rPr>
          <w:rFonts w:eastAsia="Times New Roman"/>
          <w:sz w:val="28"/>
          <w:szCs w:val="28"/>
          <w:lang w:val="uk-UA"/>
        </w:rPr>
        <w:t>десквамаці</w:t>
      </w:r>
      <w:r w:rsidR="006F7E0A" w:rsidRPr="006F7E0A">
        <w:rPr>
          <w:rFonts w:eastAsia="Times New Roman"/>
          <w:sz w:val="28"/>
          <w:szCs w:val="28"/>
          <w:lang w:val="uk-UA"/>
        </w:rPr>
        <w:t>ї</w:t>
      </w:r>
      <w:r>
        <w:rPr>
          <w:rFonts w:eastAsia="Times New Roman"/>
          <w:sz w:val="28"/>
          <w:szCs w:val="28"/>
          <w:lang w:val="uk-UA"/>
        </w:rPr>
        <w:t xml:space="preserve"> епітеліального покр</w:t>
      </w:r>
      <w:r w:rsidR="00125851">
        <w:rPr>
          <w:rFonts w:eastAsia="Times New Roman"/>
          <w:sz w:val="28"/>
          <w:szCs w:val="28"/>
          <w:lang w:val="uk-UA"/>
        </w:rPr>
        <w:t>и</w:t>
      </w:r>
      <w:r>
        <w:rPr>
          <w:rFonts w:eastAsia="Times New Roman"/>
          <w:sz w:val="28"/>
          <w:szCs w:val="28"/>
          <w:lang w:val="uk-UA"/>
        </w:rPr>
        <w:t>ву, переважно в області вершин міжзубних сосочків</w:t>
      </w:r>
      <w:r w:rsidR="00966737" w:rsidRPr="00966737">
        <w:rPr>
          <w:rFonts w:eastAsia="Times New Roman"/>
          <w:sz w:val="28"/>
          <w:szCs w:val="28"/>
        </w:rPr>
        <w:t>.</w:t>
      </w:r>
    </w:p>
    <w:p w:rsidR="00966737" w:rsidRPr="00966737" w:rsidRDefault="00F31390" w:rsidP="00966737">
      <w:pPr>
        <w:spacing w:after="0" w:line="36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огляді язика відзначалася його набряклість, що підтверджувалося </w:t>
      </w:r>
      <w:r w:rsidRPr="00EC4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фестончатістю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бокової поверхні та кінчика язика, яка створена відбитками зубів. Патологічні явища на слизовій оболонці язика виявлені у 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20 (15,9%)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у вигляді десквамативного глоситу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737" w:rsidRPr="00966737" w:rsidRDefault="00F31390" w:rsidP="00966737">
      <w:pPr>
        <w:pStyle w:val="12"/>
        <w:shd w:val="clear" w:color="auto" w:fill="auto"/>
        <w:spacing w:before="0" w:after="0" w:line="360" w:lineRule="auto"/>
        <w:ind w:left="20" w:right="20" w:firstLine="680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val="uk-UA"/>
        </w:rPr>
        <w:t>У</w:t>
      </w:r>
      <w:r w:rsidR="00966737" w:rsidRPr="00966737">
        <w:rPr>
          <w:rFonts w:eastAsia="Times New Roman"/>
          <w:sz w:val="28"/>
          <w:szCs w:val="28"/>
        </w:rPr>
        <w:t xml:space="preserve"> 75 </w:t>
      </w:r>
      <w:r>
        <w:rPr>
          <w:rFonts w:eastAsia="Times New Roman"/>
          <w:sz w:val="28"/>
          <w:szCs w:val="28"/>
          <w:lang w:val="uk-UA"/>
        </w:rPr>
        <w:t xml:space="preserve">людей, що складає близько </w:t>
      </w:r>
      <w:r w:rsidR="00966737" w:rsidRPr="00966737">
        <w:rPr>
          <w:rFonts w:eastAsia="Times New Roman"/>
          <w:sz w:val="28"/>
          <w:szCs w:val="28"/>
        </w:rPr>
        <w:t xml:space="preserve">60% </w:t>
      </w:r>
      <w:r>
        <w:rPr>
          <w:rFonts w:eastAsia="Times New Roman"/>
          <w:sz w:val="28"/>
          <w:szCs w:val="28"/>
          <w:lang w:val="uk-UA"/>
        </w:rPr>
        <w:t>обстежених дітей, одночасно з геморатичними проявами на шкірі</w:t>
      </w:r>
      <w:r w:rsidR="00125851">
        <w:rPr>
          <w:rFonts w:eastAsia="Times New Roman"/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/>
        </w:rPr>
        <w:t xml:space="preserve"> відзначалися кровоточивість ясен та т</w:t>
      </w:r>
      <w:r>
        <w:rPr>
          <w:rFonts w:eastAsia="Times New Roman"/>
          <w:sz w:val="28"/>
          <w:szCs w:val="28"/>
          <w:lang w:val="uk-UA"/>
        </w:rPr>
        <w:t>о</w:t>
      </w:r>
      <w:r>
        <w:rPr>
          <w:rFonts w:eastAsia="Times New Roman"/>
          <w:sz w:val="28"/>
          <w:szCs w:val="28"/>
          <w:lang w:val="uk-UA"/>
        </w:rPr>
        <w:t>чечні геморації на слизовій щок та язика</w:t>
      </w:r>
      <w:r w:rsidR="00966737" w:rsidRPr="0096673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  <w:lang w:val="uk-UA"/>
        </w:rPr>
        <w:t xml:space="preserve"> переважно по лініі змикання зубів </w:t>
      </w:r>
      <w:r w:rsidR="00966737" w:rsidRPr="00966737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  <w:lang w:val="uk-UA"/>
        </w:rPr>
        <w:t>у місцях найбільш вірогідної травматизації СОПР. Крововиливи на слиз</w:t>
      </w:r>
      <w:r>
        <w:rPr>
          <w:rFonts w:eastAsia="Times New Roman"/>
          <w:sz w:val="28"/>
          <w:szCs w:val="28"/>
          <w:lang w:val="uk-UA"/>
        </w:rPr>
        <w:t>о</w:t>
      </w:r>
      <w:r>
        <w:rPr>
          <w:rFonts w:eastAsia="Times New Roman"/>
          <w:sz w:val="28"/>
          <w:szCs w:val="28"/>
          <w:lang w:val="uk-UA"/>
        </w:rPr>
        <w:t xml:space="preserve">вій оболонці порожнини рота варіювали за формою, розміром, кількістю та локалізацією геморагічних елементів. </w:t>
      </w:r>
      <w:r w:rsidR="00125851">
        <w:rPr>
          <w:rFonts w:eastAsia="Times New Roman"/>
          <w:sz w:val="28"/>
          <w:szCs w:val="28"/>
          <w:lang w:val="uk-UA"/>
        </w:rPr>
        <w:t>У</w:t>
      </w:r>
      <w:r>
        <w:rPr>
          <w:rFonts w:eastAsia="Times New Roman"/>
          <w:sz w:val="28"/>
          <w:szCs w:val="28"/>
          <w:lang w:val="uk-UA"/>
        </w:rPr>
        <w:t xml:space="preserve"> наших спостереженнях геморагічні елементи мали чіткий контур, округлу або овальну форму, розміром від м</w:t>
      </w:r>
      <w:r>
        <w:rPr>
          <w:rFonts w:eastAsia="Times New Roman"/>
          <w:sz w:val="28"/>
          <w:szCs w:val="28"/>
          <w:lang w:val="uk-UA"/>
        </w:rPr>
        <w:t>е</w:t>
      </w:r>
      <w:r>
        <w:rPr>
          <w:rFonts w:eastAsia="Times New Roman"/>
          <w:sz w:val="28"/>
          <w:szCs w:val="28"/>
          <w:lang w:val="uk-UA"/>
        </w:rPr>
        <w:t xml:space="preserve">техій </w:t>
      </w:r>
      <w:r w:rsidR="00966737" w:rsidRPr="00966737">
        <w:rPr>
          <w:rFonts w:eastAsia="Times New Roman"/>
          <w:sz w:val="28"/>
          <w:szCs w:val="28"/>
          <w:shd w:val="clear" w:color="auto" w:fill="FFFFFF"/>
        </w:rPr>
        <w:t xml:space="preserve">(1 мм 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>у діаметрі</w:t>
      </w:r>
      <w:r w:rsidR="00966737" w:rsidRPr="00966737">
        <w:rPr>
          <w:rFonts w:eastAsia="Times New Roman"/>
          <w:sz w:val="28"/>
          <w:szCs w:val="28"/>
          <w:shd w:val="clear" w:color="auto" w:fill="FFFFFF"/>
        </w:rPr>
        <w:t xml:space="preserve">) 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до геморагій </w:t>
      </w:r>
      <w:r w:rsidR="00966737" w:rsidRPr="00966737">
        <w:rPr>
          <w:rFonts w:eastAsia="Times New Roman"/>
          <w:sz w:val="28"/>
          <w:szCs w:val="28"/>
          <w:shd w:val="clear" w:color="auto" w:fill="FFFFFF"/>
        </w:rPr>
        <w:t xml:space="preserve">(до 3 см 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>у діаметрі</w:t>
      </w:r>
      <w:r w:rsidR="00966737" w:rsidRPr="00966737">
        <w:rPr>
          <w:rFonts w:eastAsia="Times New Roman"/>
          <w:sz w:val="28"/>
          <w:szCs w:val="28"/>
          <w:shd w:val="clear" w:color="auto" w:fill="FFFFFF"/>
        </w:rPr>
        <w:t xml:space="preserve">), а 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>кількість гемораг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>чних елементів розрізнялася від одиничних до множинних, число яких у д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>е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яких хворих доходило до </w:t>
      </w:r>
      <w:r w:rsidR="00966737" w:rsidRPr="00966737">
        <w:rPr>
          <w:rFonts w:eastAsia="Times New Roman"/>
          <w:sz w:val="28"/>
          <w:szCs w:val="28"/>
          <w:shd w:val="clear" w:color="auto" w:fill="FFFFFF"/>
        </w:rPr>
        <w:t>100.</w:t>
      </w:r>
    </w:p>
    <w:p w:rsidR="00966737" w:rsidRPr="000F0425" w:rsidRDefault="00F31390" w:rsidP="00966737">
      <w:pPr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Виразково-некротичне ураження відзначалося у </w:t>
      </w:r>
      <w:r w:rsidR="004F2C93" w:rsidRPr="004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4F2C93" w:rsidRPr="00540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дітей </w:t>
      </w:r>
      <w:r w:rsidR="00125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першому гострому періоді, у 1 дитини</w:t>
      </w:r>
      <w:r w:rsidR="00125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стаді</w:t>
      </w:r>
      <w:r w:rsidR="00EC4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 ремісії та у 1</w:t>
      </w:r>
      <w:r w:rsidR="004F2C93" w:rsidRPr="00540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125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 час рецидиву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ГЛЛ. Найчастіше виразково-некротичний синдром спостерігався на слизовій оболонці щок, язика та ясенного краю. Виразково-некротичні елементи були вкриті некротичним нальотом брудно-сірого кольору, який важко знімався та оголював поверхню</w:t>
      </w:r>
      <w:r w:rsidR="00125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яка кровила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Часто виразково-некротичні елементи виникали на місці геморагій</w:t>
      </w:r>
      <w:r w:rsidR="00966737" w:rsidRPr="000F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66737" w:rsidRPr="00966737" w:rsidRDefault="00F31390" w:rsidP="00966737">
      <w:pPr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Антибіотики та паралельно використовувані цитостатичні препарати для лікування ГЛЛ змінювали мікрофлору порожнини рота, створюючи сприятливі умови для росту грибів. Тому при дослідженні слизової оболонки порожнини рота 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гострим лімфобластним лейкозом дуже часто ми відзначали </w:t>
      </w:r>
      <w:r w:rsidR="00797B32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ураження СОПР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: 85,2% </w:t>
      </w:r>
      <w:r w:rsidR="006F7E0A" w:rsidRPr="00966737">
        <w:rPr>
          <w:rFonts w:eastAsia="Times New Roman"/>
          <w:sz w:val="28"/>
          <w:szCs w:val="28"/>
        </w:rPr>
        <w:t>–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перший гострий період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, 33,3% </w:t>
      </w:r>
      <w:r w:rsidR="006F7E0A" w:rsidRPr="00966737">
        <w:rPr>
          <w:rFonts w:eastAsia="Times New Roman"/>
          <w:sz w:val="28"/>
          <w:szCs w:val="28"/>
        </w:rPr>
        <w:t>–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85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стадії ремісії та 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85,7 %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випадків під час рецидиву ГЛЛ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737" w:rsidRPr="000F0425" w:rsidRDefault="00F31390" w:rsidP="00966737">
      <w:pPr>
        <w:pStyle w:val="161"/>
        <w:spacing w:line="360" w:lineRule="auto"/>
        <w:ind w:right="40"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Найчастіше у дітей з ГЛЛ зустрічалися 2 форми грибкових захвор</w:t>
      </w:r>
      <w:r>
        <w:rPr>
          <w:rFonts w:eastAsia="Times New Roman"/>
          <w:sz w:val="28"/>
          <w:szCs w:val="28"/>
          <w:lang w:val="uk-UA"/>
        </w:rPr>
        <w:t>ю</w:t>
      </w:r>
      <w:r>
        <w:rPr>
          <w:rFonts w:eastAsia="Times New Roman"/>
          <w:sz w:val="28"/>
          <w:szCs w:val="28"/>
          <w:lang w:val="uk-UA"/>
        </w:rPr>
        <w:t>вань</w:t>
      </w:r>
      <w:r w:rsidR="00966737" w:rsidRPr="00966737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  <w:lang w:val="uk-UA"/>
        </w:rPr>
        <w:t xml:space="preserve">гострий псевдомембранозний </w:t>
      </w:r>
      <w:r w:rsidR="00797B32">
        <w:rPr>
          <w:rFonts w:eastAsia="Times New Roman"/>
          <w:sz w:val="28"/>
          <w:szCs w:val="28"/>
          <w:lang w:val="uk-UA"/>
        </w:rPr>
        <w:t>кандидоз</w:t>
      </w:r>
      <w:r>
        <w:rPr>
          <w:rFonts w:eastAsia="Times New Roman"/>
          <w:sz w:val="28"/>
          <w:szCs w:val="28"/>
          <w:lang w:val="uk-UA"/>
        </w:rPr>
        <w:t xml:space="preserve"> та гострий атрофічний </w:t>
      </w:r>
      <w:r w:rsidR="00797B32">
        <w:rPr>
          <w:rFonts w:eastAsia="Times New Roman"/>
          <w:sz w:val="28"/>
          <w:szCs w:val="28"/>
          <w:lang w:val="uk-UA"/>
        </w:rPr>
        <w:t>канд</w:t>
      </w:r>
      <w:r w:rsidR="00797B32">
        <w:rPr>
          <w:rFonts w:eastAsia="Times New Roman"/>
          <w:sz w:val="28"/>
          <w:szCs w:val="28"/>
          <w:lang w:val="uk-UA"/>
        </w:rPr>
        <w:t>и</w:t>
      </w:r>
      <w:r w:rsidR="00797B32">
        <w:rPr>
          <w:rFonts w:eastAsia="Times New Roman"/>
          <w:sz w:val="28"/>
          <w:szCs w:val="28"/>
          <w:lang w:val="uk-UA"/>
        </w:rPr>
        <w:t>доз</w:t>
      </w:r>
      <w:r>
        <w:rPr>
          <w:rFonts w:eastAsia="Times New Roman"/>
          <w:sz w:val="28"/>
          <w:szCs w:val="28"/>
          <w:lang w:val="uk-UA"/>
        </w:rPr>
        <w:t xml:space="preserve">, причому, часто ці клінічні форми поєднувалися. Хронічні форми </w:t>
      </w:r>
      <w:r w:rsidR="00797B32">
        <w:rPr>
          <w:rFonts w:eastAsia="Times New Roman"/>
          <w:sz w:val="28"/>
          <w:szCs w:val="28"/>
          <w:lang w:val="uk-UA"/>
        </w:rPr>
        <w:t>канд</w:t>
      </w:r>
      <w:r w:rsidR="00797B32">
        <w:rPr>
          <w:rFonts w:eastAsia="Times New Roman"/>
          <w:sz w:val="28"/>
          <w:szCs w:val="28"/>
          <w:lang w:val="uk-UA"/>
        </w:rPr>
        <w:t>и</w:t>
      </w:r>
      <w:r w:rsidR="00797B32">
        <w:rPr>
          <w:rFonts w:eastAsia="Times New Roman"/>
          <w:sz w:val="28"/>
          <w:szCs w:val="28"/>
          <w:lang w:val="uk-UA"/>
        </w:rPr>
        <w:t>доз</w:t>
      </w:r>
      <w:r>
        <w:rPr>
          <w:rFonts w:eastAsia="Times New Roman"/>
          <w:sz w:val="28"/>
          <w:szCs w:val="28"/>
          <w:lang w:val="uk-UA"/>
        </w:rPr>
        <w:t xml:space="preserve">у спостерігалися досить рідко. У </w:t>
      </w:r>
      <w:r w:rsidR="00966737" w:rsidRPr="000F0425">
        <w:rPr>
          <w:rFonts w:eastAsia="Times New Roman"/>
          <w:sz w:val="28"/>
          <w:szCs w:val="28"/>
          <w:lang w:val="uk-UA"/>
        </w:rPr>
        <w:t xml:space="preserve">1 </w:t>
      </w:r>
      <w:r>
        <w:rPr>
          <w:rFonts w:eastAsia="Times New Roman"/>
          <w:sz w:val="28"/>
          <w:szCs w:val="28"/>
          <w:lang w:val="uk-UA"/>
        </w:rPr>
        <w:t xml:space="preserve">випадку хронічного гіперпластичного </w:t>
      </w:r>
      <w:r w:rsidR="00797B32">
        <w:rPr>
          <w:rFonts w:eastAsia="Times New Roman"/>
          <w:sz w:val="28"/>
          <w:szCs w:val="28"/>
          <w:lang w:val="uk-UA"/>
        </w:rPr>
        <w:t>кандидоз</w:t>
      </w:r>
      <w:r>
        <w:rPr>
          <w:rFonts w:eastAsia="Times New Roman"/>
          <w:sz w:val="28"/>
          <w:szCs w:val="28"/>
          <w:lang w:val="uk-UA"/>
        </w:rPr>
        <w:t>у на дорсальній поверхні язика визначалися бляшки сіро-білого к</w:t>
      </w:r>
      <w:r>
        <w:rPr>
          <w:rFonts w:eastAsia="Times New Roman"/>
          <w:sz w:val="28"/>
          <w:szCs w:val="28"/>
          <w:lang w:val="uk-UA"/>
        </w:rPr>
        <w:t>о</w:t>
      </w:r>
      <w:r>
        <w:rPr>
          <w:rFonts w:eastAsia="Times New Roman"/>
          <w:sz w:val="28"/>
          <w:szCs w:val="28"/>
          <w:lang w:val="uk-UA"/>
        </w:rPr>
        <w:t xml:space="preserve">льору, щільно спаяні з підлеглою тканиною. При спробі </w:t>
      </w:r>
      <w:r w:rsidR="00125851">
        <w:rPr>
          <w:rFonts w:eastAsia="Times New Roman"/>
          <w:sz w:val="28"/>
          <w:szCs w:val="28"/>
          <w:lang w:val="uk-UA"/>
        </w:rPr>
        <w:t>примусового</w:t>
      </w:r>
      <w:r>
        <w:rPr>
          <w:rFonts w:eastAsia="Times New Roman"/>
          <w:sz w:val="28"/>
          <w:szCs w:val="28"/>
          <w:lang w:val="uk-UA"/>
        </w:rPr>
        <w:t xml:space="preserve"> їх в</w:t>
      </w:r>
      <w:r>
        <w:rPr>
          <w:rFonts w:eastAsia="Times New Roman"/>
          <w:sz w:val="28"/>
          <w:szCs w:val="28"/>
          <w:lang w:val="uk-UA"/>
        </w:rPr>
        <w:t>и</w:t>
      </w:r>
      <w:r>
        <w:rPr>
          <w:rFonts w:eastAsia="Times New Roman"/>
          <w:sz w:val="28"/>
          <w:szCs w:val="28"/>
          <w:lang w:val="uk-UA"/>
        </w:rPr>
        <w:t>далення створювалася ерозивна поверхня</w:t>
      </w:r>
      <w:r w:rsidR="00125851">
        <w:rPr>
          <w:rFonts w:eastAsia="Times New Roman"/>
          <w:sz w:val="28"/>
          <w:szCs w:val="28"/>
          <w:lang w:val="uk-UA"/>
        </w:rPr>
        <w:t>, що кровоточила</w:t>
      </w:r>
      <w:r w:rsidR="00966737" w:rsidRPr="000F0425">
        <w:rPr>
          <w:rFonts w:eastAsia="Times New Roman"/>
          <w:sz w:val="28"/>
          <w:szCs w:val="28"/>
          <w:lang w:val="uk-UA"/>
        </w:rPr>
        <w:t>.</w:t>
      </w:r>
    </w:p>
    <w:p w:rsidR="00966737" w:rsidRPr="000F0425" w:rsidRDefault="00F31390" w:rsidP="00966737">
      <w:pPr>
        <w:pStyle w:val="161"/>
        <w:spacing w:line="360" w:lineRule="auto"/>
        <w:ind w:right="40"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Суттєву профілактичну роль у розвитку стоматологічних захворювань у дітей з ГЛЛ відіграє стан гігієни порожнини рота.</w:t>
      </w:r>
    </w:p>
    <w:p w:rsidR="00966737" w:rsidRPr="003E1F47" w:rsidRDefault="00F31390" w:rsidP="0096673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Дослідження гігієнічного стану порожнини рота свідчили про те, що </w:t>
      </w:r>
      <w:r w:rsidR="007C5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 з ГЛЛ </w:t>
      </w:r>
      <w:r w:rsidR="007C5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середньому гігієнічний індекс відповідав </w:t>
      </w:r>
      <w:r w:rsidR="006F7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поганому</w:t>
      </w:r>
      <w:r w:rsidR="006F7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966737" w:rsidRPr="000F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дошк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льному</w:t>
      </w:r>
      <w:r w:rsidR="00966737" w:rsidRPr="000F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(2-5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років</w:t>
      </w:r>
      <w:r w:rsidR="00966737" w:rsidRPr="000F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 молодшому шкільному віці</w:t>
      </w:r>
      <w:r w:rsidR="00966737" w:rsidRPr="000F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(6-8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років</w:t>
      </w:r>
      <w:r w:rsidR="00966737" w:rsidRPr="000F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 у п</w:t>
      </w:r>
      <w:r w:rsidR="006F7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літків 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встановлена тенденція до покращ</w:t>
      </w:r>
      <w:r w:rsidR="007C5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ння гігієнічного догляду</w:t>
      </w:r>
      <w:r w:rsidR="00966737" w:rsidRPr="000F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Разом з тим, ц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фрові значення гігієнічних індексів 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OHI</w:t>
      </w:r>
      <w:r w:rsidR="00966737" w:rsidRP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</w:t>
      </w:r>
      <w:r w:rsidR="00966737" w:rsidRP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966737" w:rsidRP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Silness</w:t>
      </w:r>
      <w:r w:rsidR="00966737" w:rsidRP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Loe</w:t>
      </w:r>
      <w:r w:rsidR="00966737" w:rsidRP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залежали не лише від віку дитини, але й від період</w:t>
      </w:r>
      <w:r w:rsidR="007C5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клінічного перебігу лейкозу</w:t>
      </w:r>
      <w:r w:rsidR="00966737" w:rsidRP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E1F47" w:rsidRP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Так, найменші значення цих індексів були встановлені </w:t>
      </w:r>
      <w:r w:rsidR="007C5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 </w:t>
      </w:r>
      <w:r w:rsidR="007C5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стадії ремісії захворювання, а високі</w:t>
      </w:r>
      <w:r w:rsidR="00966737" w:rsidRPr="000F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 фоні рецидиву ГЛЛ, що пов</w:t>
      </w:r>
      <w:r w:rsidR="003E1F47" w:rsidRPr="000F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язане, на нашу думку, з важким з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гальним станом та болючими відчуттями </w:t>
      </w:r>
      <w:r w:rsidR="007C5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порожнині рота </w:t>
      </w:r>
      <w:r w:rsidR="007C5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даного конти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генту дітей. Стабільність величини гігієнічних індексів навіть у стадії ремісії 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ГЛЛ ми пов</w:t>
      </w:r>
      <w:r w:rsidR="003E1F47" w:rsidRP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3E1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язуємо з негативним впливом курсів хіміотерапії на гігієнічний стан порожнини рота цих дітей</w:t>
      </w:r>
      <w:r w:rsidR="00966737" w:rsidRPr="003E1F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6737" w:rsidRPr="003E1F47" w:rsidRDefault="003E1F47" w:rsidP="009667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При вивченні стану мікробіоценозу та місцевого імунітету </w:t>
      </w:r>
      <w:r w:rsidR="007C575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рота </w:t>
      </w:r>
      <w:r w:rsidR="007C5759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гострим лімфобластним лейкозом було встановлено, що на ф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ні зниження місцевого імунітету мікрофлора порожнини рота також зазнає критичних змін. Крім того, застосування цитостатичних препаратів, опром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нення, імунодепресантів посилюють імунні порушення, що призводить до зміни </w:t>
      </w:r>
      <w:r w:rsidR="006F7E0A">
        <w:rPr>
          <w:rFonts w:ascii="Times New Roman" w:eastAsia="MS Mincho" w:hAnsi="Times New Roman" w:cs="Times New Roman"/>
          <w:sz w:val="28"/>
          <w:szCs w:val="28"/>
          <w:lang w:val="uk-UA"/>
        </w:rPr>
        <w:t>фізіологіч</w:t>
      </w:r>
      <w:r w:rsidR="00061E27">
        <w:rPr>
          <w:rFonts w:ascii="Times New Roman" w:eastAsia="MS Mincho" w:hAnsi="Times New Roman" w:cs="Times New Roman"/>
          <w:sz w:val="28"/>
          <w:szCs w:val="28"/>
          <w:lang w:val="uk-UA"/>
        </w:rPr>
        <w:t>ного мікробіоценозу, порушення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колонізаційної резистен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ності слизових оболонок та формуванн</w:t>
      </w:r>
      <w:r w:rsidR="007C5759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дисбіотичних зсувів у порожнині рота</w:t>
      </w:r>
      <w:r w:rsidR="00966737" w:rsidRPr="003E1F47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966737" w:rsidRPr="00EA3377" w:rsidRDefault="003E1F47" w:rsidP="00966737">
      <w:pPr>
        <w:pStyle w:val="12"/>
        <w:shd w:val="clear" w:color="auto" w:fill="auto"/>
        <w:spacing w:before="0" w:after="0" w:line="360" w:lineRule="auto"/>
        <w:ind w:firstLine="700"/>
        <w:jc w:val="both"/>
        <w:rPr>
          <w:rFonts w:eastAsia="MS Mincho"/>
          <w:sz w:val="28"/>
          <w:szCs w:val="28"/>
          <w:lang w:val="uk-UA" w:eastAsia="de-DE"/>
        </w:rPr>
      </w:pPr>
      <w:r>
        <w:rPr>
          <w:rFonts w:eastAsia="Times New Roman"/>
          <w:sz w:val="28"/>
          <w:szCs w:val="28"/>
          <w:lang w:val="uk-UA"/>
        </w:rPr>
        <w:t>Обстеження дітей у перший гострий період ГЛЛ, проведене під час ї</w:t>
      </w:r>
      <w:r>
        <w:rPr>
          <w:rFonts w:eastAsia="Times New Roman"/>
          <w:sz w:val="28"/>
          <w:szCs w:val="28"/>
          <w:lang w:val="uk-UA"/>
        </w:rPr>
        <w:t>х</w:t>
      </w:r>
      <w:r>
        <w:rPr>
          <w:rFonts w:eastAsia="Times New Roman"/>
          <w:sz w:val="28"/>
          <w:szCs w:val="28"/>
          <w:lang w:val="uk-UA"/>
        </w:rPr>
        <w:t>нього поліохіміотерапевтичного лікування, показало достовірне збільшення пародонтопатогенів та інших представників анаеробної мікрофлори</w:t>
      </w:r>
      <w:r w:rsidR="00966737" w:rsidRPr="003E1F47">
        <w:rPr>
          <w:rFonts w:eastAsia="Times New Roman"/>
          <w:sz w:val="28"/>
          <w:szCs w:val="28"/>
          <w:lang w:val="uk-UA"/>
        </w:rPr>
        <w:t xml:space="preserve"> </w:t>
      </w:r>
      <w:r w:rsidR="00966737" w:rsidRPr="003E1F47">
        <w:rPr>
          <w:rFonts w:eastAsia="MS Mincho"/>
          <w:sz w:val="28"/>
          <w:szCs w:val="28"/>
          <w:lang w:val="uk-UA"/>
        </w:rPr>
        <w:t xml:space="preserve">(р &lt; 0,05). </w:t>
      </w:r>
      <w:r>
        <w:rPr>
          <w:rFonts w:eastAsia="MS Mincho"/>
          <w:sz w:val="28"/>
          <w:szCs w:val="28"/>
          <w:lang w:val="uk-UA"/>
        </w:rPr>
        <w:t xml:space="preserve">Так, кількість пептострептококів збільшилася більше, ніж у </w:t>
      </w:r>
      <w:r w:rsidR="00966737" w:rsidRPr="00966737">
        <w:rPr>
          <w:rFonts w:eastAsia="MS Mincho"/>
          <w:sz w:val="28"/>
          <w:szCs w:val="28"/>
        </w:rPr>
        <w:t>2,5 раз</w:t>
      </w:r>
      <w:r>
        <w:rPr>
          <w:rFonts w:eastAsia="MS Mincho"/>
          <w:sz w:val="28"/>
          <w:szCs w:val="28"/>
          <w:lang w:val="uk-UA"/>
        </w:rPr>
        <w:t>и</w:t>
      </w:r>
      <w:r w:rsidR="00966737" w:rsidRPr="00966737">
        <w:rPr>
          <w:rFonts w:eastAsia="MS Mincho"/>
          <w:sz w:val="28"/>
          <w:szCs w:val="28"/>
        </w:rPr>
        <w:t xml:space="preserve">,  а </w:t>
      </w:r>
      <w:r w:rsidR="007C5759">
        <w:rPr>
          <w:rFonts w:eastAsia="MS Mincho"/>
          <w:sz w:val="28"/>
          <w:szCs w:val="28"/>
          <w:lang w:val="uk-UA"/>
        </w:rPr>
        <w:t>в</w:t>
      </w:r>
      <w:r w:rsidR="007C0058">
        <w:rPr>
          <w:rFonts w:eastAsia="MS Mincho"/>
          <w:sz w:val="28"/>
          <w:szCs w:val="28"/>
          <w:lang w:val="uk-UA"/>
        </w:rPr>
        <w:t xml:space="preserve"> групі сімейства ентеробактерій – </w:t>
      </w:r>
      <w:r>
        <w:rPr>
          <w:rFonts w:eastAsia="MS Mincho"/>
          <w:sz w:val="28"/>
          <w:szCs w:val="28"/>
          <w:lang w:val="uk-UA"/>
        </w:rPr>
        <w:t xml:space="preserve">у </w:t>
      </w:r>
      <w:r w:rsidR="00966737" w:rsidRPr="00966737">
        <w:rPr>
          <w:rFonts w:eastAsia="MS Mincho"/>
          <w:sz w:val="28"/>
          <w:szCs w:val="28"/>
        </w:rPr>
        <w:t>2,4</w:t>
      </w:r>
      <w:r w:rsidR="006F7E0A">
        <w:rPr>
          <w:rFonts w:eastAsia="MS Mincho"/>
          <w:sz w:val="28"/>
          <w:szCs w:val="28"/>
          <w:lang w:val="uk-UA"/>
        </w:rPr>
        <w:t>-</w:t>
      </w:r>
      <w:r w:rsidR="00966737" w:rsidRPr="00966737">
        <w:rPr>
          <w:rFonts w:eastAsia="MS Mincho"/>
          <w:sz w:val="28"/>
          <w:szCs w:val="28"/>
        </w:rPr>
        <w:t>3,8 раз</w:t>
      </w:r>
      <w:r w:rsidR="007C0058">
        <w:rPr>
          <w:rFonts w:eastAsia="MS Mincho"/>
          <w:sz w:val="28"/>
          <w:szCs w:val="28"/>
          <w:lang w:val="uk-UA"/>
        </w:rPr>
        <w:t>и</w:t>
      </w:r>
      <w:r w:rsidR="006F7E0A">
        <w:rPr>
          <w:rFonts w:eastAsia="MS Mincho"/>
          <w:sz w:val="28"/>
          <w:szCs w:val="28"/>
        </w:rPr>
        <w:t>. У 45 (73,8</w:t>
      </w:r>
      <w:r w:rsidR="00966737" w:rsidRPr="00966737">
        <w:rPr>
          <w:rFonts w:eastAsia="MS Mincho"/>
          <w:sz w:val="28"/>
          <w:szCs w:val="28"/>
        </w:rPr>
        <w:t xml:space="preserve">%) </w:t>
      </w:r>
      <w:r w:rsidR="00D86919">
        <w:rPr>
          <w:rFonts w:eastAsia="MS Mincho"/>
          <w:sz w:val="28"/>
          <w:szCs w:val="28"/>
          <w:lang w:val="uk-UA"/>
        </w:rPr>
        <w:t>дітей цієї гр</w:t>
      </w:r>
      <w:r w:rsidR="00D86919">
        <w:rPr>
          <w:rFonts w:eastAsia="MS Mincho"/>
          <w:sz w:val="28"/>
          <w:szCs w:val="28"/>
          <w:lang w:val="uk-UA"/>
        </w:rPr>
        <w:t>у</w:t>
      </w:r>
      <w:r w:rsidR="00D86919">
        <w:rPr>
          <w:rFonts w:eastAsia="MS Mincho"/>
          <w:sz w:val="28"/>
          <w:szCs w:val="28"/>
          <w:lang w:val="uk-UA"/>
        </w:rPr>
        <w:t>пи висі</w:t>
      </w:r>
      <w:r>
        <w:rPr>
          <w:rFonts w:eastAsia="MS Mincho"/>
          <w:sz w:val="28"/>
          <w:szCs w:val="28"/>
          <w:lang w:val="uk-UA"/>
        </w:rPr>
        <w:t>валися дріжджоподібні гриби</w:t>
      </w:r>
      <w:r w:rsidR="00966737" w:rsidRPr="00966737">
        <w:rPr>
          <w:rFonts w:eastAsia="MS Mincho"/>
          <w:sz w:val="28"/>
          <w:szCs w:val="28"/>
        </w:rPr>
        <w:t xml:space="preserve">, у 36 (59%) </w:t>
      </w:r>
      <w:r>
        <w:rPr>
          <w:rFonts w:eastAsia="MS Mincho"/>
          <w:sz w:val="28"/>
          <w:szCs w:val="28"/>
          <w:lang w:val="uk-UA"/>
        </w:rPr>
        <w:t>дітей висівали кишкову п</w:t>
      </w:r>
      <w:r>
        <w:rPr>
          <w:rFonts w:eastAsia="MS Mincho"/>
          <w:sz w:val="28"/>
          <w:szCs w:val="28"/>
          <w:lang w:val="uk-UA"/>
        </w:rPr>
        <w:t>а</w:t>
      </w:r>
      <w:r>
        <w:rPr>
          <w:rFonts w:eastAsia="MS Mincho"/>
          <w:sz w:val="28"/>
          <w:szCs w:val="28"/>
          <w:lang w:val="uk-UA"/>
        </w:rPr>
        <w:t xml:space="preserve">личку, а </w:t>
      </w:r>
      <w:r w:rsidR="00966737" w:rsidRPr="00966737">
        <w:rPr>
          <w:rFonts w:eastAsia="Times New Roman"/>
          <w:sz w:val="28"/>
          <w:szCs w:val="28"/>
        </w:rPr>
        <w:t xml:space="preserve">Veyllonellа </w:t>
      </w:r>
      <w:r>
        <w:rPr>
          <w:rFonts w:eastAsia="Times New Roman"/>
          <w:sz w:val="28"/>
          <w:szCs w:val="28"/>
          <w:lang w:val="uk-UA"/>
        </w:rPr>
        <w:t xml:space="preserve">була виявлена у </w:t>
      </w:r>
      <w:r w:rsidR="00966737" w:rsidRPr="00966737">
        <w:rPr>
          <w:rFonts w:eastAsia="Times New Roman"/>
          <w:sz w:val="28"/>
          <w:szCs w:val="28"/>
        </w:rPr>
        <w:t xml:space="preserve">15 (24,6%) </w:t>
      </w:r>
      <w:r>
        <w:rPr>
          <w:rFonts w:eastAsia="Times New Roman"/>
          <w:sz w:val="28"/>
          <w:szCs w:val="28"/>
          <w:lang w:val="uk-UA"/>
        </w:rPr>
        <w:t>дітей</w:t>
      </w:r>
      <w:r w:rsidR="00966737" w:rsidRPr="00966737">
        <w:rPr>
          <w:rFonts w:eastAsia="Times New Roman"/>
          <w:sz w:val="28"/>
          <w:szCs w:val="28"/>
        </w:rPr>
        <w:t xml:space="preserve">, </w:t>
      </w:r>
      <w:r w:rsidR="00966737" w:rsidRPr="00966737">
        <w:rPr>
          <w:rFonts w:eastAsia="MS Mincho"/>
          <w:sz w:val="28"/>
          <w:szCs w:val="28"/>
        </w:rPr>
        <w:t>Treponema denticole</w:t>
      </w:r>
      <w:r w:rsidR="007C0058">
        <w:rPr>
          <w:rFonts w:eastAsia="MS Mincho"/>
          <w:sz w:val="28"/>
          <w:szCs w:val="28"/>
          <w:lang w:val="uk-UA"/>
        </w:rPr>
        <w:t xml:space="preserve"> –</w:t>
      </w:r>
      <w:r w:rsidR="00966737" w:rsidRPr="00966737">
        <w:rPr>
          <w:rFonts w:eastAsia="MS Mincho"/>
          <w:sz w:val="28"/>
          <w:szCs w:val="28"/>
        </w:rPr>
        <w:t xml:space="preserve"> у 23 (37,7%). </w:t>
      </w:r>
      <w:r>
        <w:rPr>
          <w:rFonts w:eastAsia="MS Mincho"/>
          <w:sz w:val="28"/>
          <w:szCs w:val="28"/>
          <w:lang w:val="uk-UA"/>
        </w:rPr>
        <w:t xml:space="preserve">Також були виділені неферментуючі бактерії </w:t>
      </w:r>
      <w:r w:rsidR="006F7E0A">
        <w:rPr>
          <w:rFonts w:eastAsia="MS Mincho"/>
          <w:sz w:val="28"/>
          <w:szCs w:val="28"/>
          <w:lang w:val="uk-UA"/>
        </w:rPr>
        <w:t xml:space="preserve">– </w:t>
      </w:r>
      <w:r>
        <w:rPr>
          <w:rFonts w:eastAsia="MS Mincho"/>
          <w:sz w:val="28"/>
          <w:szCs w:val="28"/>
          <w:lang w:val="uk-UA"/>
        </w:rPr>
        <w:t>аеробактерії</w:t>
      </w:r>
      <w:r w:rsidR="00966737" w:rsidRPr="00966737">
        <w:rPr>
          <w:rFonts w:eastAsia="MS Mincho"/>
          <w:sz w:val="28"/>
          <w:szCs w:val="28"/>
        </w:rPr>
        <w:t xml:space="preserve"> (15%), </w:t>
      </w:r>
      <w:r>
        <w:rPr>
          <w:rFonts w:eastAsia="MS Mincho"/>
          <w:sz w:val="28"/>
          <w:szCs w:val="28"/>
          <w:lang w:val="uk-UA"/>
        </w:rPr>
        <w:t>споротворчі бактерії</w:t>
      </w:r>
      <w:r w:rsidR="00966737" w:rsidRPr="00966737">
        <w:rPr>
          <w:rFonts w:eastAsia="MS Mincho"/>
          <w:sz w:val="28"/>
          <w:szCs w:val="28"/>
        </w:rPr>
        <w:t xml:space="preserve"> (17%), </w:t>
      </w:r>
      <w:r>
        <w:rPr>
          <w:rFonts w:eastAsia="MS Mincho"/>
          <w:sz w:val="28"/>
          <w:szCs w:val="28"/>
          <w:lang w:val="uk-UA"/>
        </w:rPr>
        <w:t>актиноміцети</w:t>
      </w:r>
      <w:r w:rsidR="00966737" w:rsidRPr="00966737">
        <w:rPr>
          <w:rFonts w:eastAsia="MS Mincho"/>
          <w:sz w:val="28"/>
          <w:szCs w:val="28"/>
        </w:rPr>
        <w:t xml:space="preserve"> (16%). </w:t>
      </w:r>
      <w:r>
        <w:rPr>
          <w:rFonts w:eastAsia="MS Mincho"/>
          <w:sz w:val="28"/>
          <w:szCs w:val="28"/>
          <w:lang w:val="uk-UA"/>
        </w:rPr>
        <w:t>Головну роль у ві</w:t>
      </w:r>
      <w:r>
        <w:rPr>
          <w:rFonts w:eastAsia="MS Mincho"/>
          <w:sz w:val="28"/>
          <w:szCs w:val="28"/>
          <w:lang w:val="uk-UA"/>
        </w:rPr>
        <w:t>д</w:t>
      </w:r>
      <w:r>
        <w:rPr>
          <w:rFonts w:eastAsia="MS Mincho"/>
          <w:sz w:val="28"/>
          <w:szCs w:val="28"/>
          <w:lang w:val="uk-UA"/>
        </w:rPr>
        <w:t>сотковому відношенні серед анаеробної мікрофлори займала група обліга</w:t>
      </w:r>
      <w:r>
        <w:rPr>
          <w:rFonts w:eastAsia="MS Mincho"/>
          <w:sz w:val="28"/>
          <w:szCs w:val="28"/>
          <w:lang w:val="uk-UA"/>
        </w:rPr>
        <w:t>т</w:t>
      </w:r>
      <w:r>
        <w:rPr>
          <w:rFonts w:eastAsia="MS Mincho"/>
          <w:sz w:val="28"/>
          <w:szCs w:val="28"/>
          <w:lang w:val="uk-UA"/>
        </w:rPr>
        <w:t>них грамнегативних анаеробів</w:t>
      </w:r>
      <w:r w:rsidR="00966737" w:rsidRPr="00966737">
        <w:rPr>
          <w:rFonts w:eastAsia="MS Mincho"/>
          <w:sz w:val="28"/>
          <w:szCs w:val="28"/>
        </w:rPr>
        <w:t xml:space="preserve"> (Citrobacter freundii, Enterobacter aerogenes, Enterobacter cloacae, Bacteroides, Fusobacterium, Porphyromonas gingivalis, Prevotella oralis). </w:t>
      </w:r>
      <w:r>
        <w:rPr>
          <w:rFonts w:eastAsia="MS Mincho"/>
          <w:sz w:val="28"/>
          <w:szCs w:val="28"/>
          <w:lang w:val="uk-UA"/>
        </w:rPr>
        <w:t xml:space="preserve">При цьому в стадії ремісії встановлено зниження кількості аеробної мікрофлори, а саме представників роду </w:t>
      </w:r>
      <w:r w:rsidR="00EA3377">
        <w:rPr>
          <w:rFonts w:eastAsia="MS Mincho"/>
          <w:sz w:val="28"/>
          <w:szCs w:val="28"/>
          <w:lang w:val="uk-UA"/>
        </w:rPr>
        <w:t>стафілококів та стрепток</w:t>
      </w:r>
      <w:r w:rsidR="00EA3377">
        <w:rPr>
          <w:rFonts w:eastAsia="MS Mincho"/>
          <w:sz w:val="28"/>
          <w:szCs w:val="28"/>
          <w:lang w:val="uk-UA"/>
        </w:rPr>
        <w:t>о</w:t>
      </w:r>
      <w:r w:rsidR="00EA3377">
        <w:rPr>
          <w:rFonts w:eastAsia="MS Mincho"/>
          <w:sz w:val="28"/>
          <w:szCs w:val="28"/>
          <w:lang w:val="uk-UA"/>
        </w:rPr>
        <w:t>ків</w:t>
      </w:r>
      <w:r w:rsidR="00966737" w:rsidRPr="00966737">
        <w:rPr>
          <w:rFonts w:eastAsia="Times New Roman"/>
          <w:sz w:val="28"/>
          <w:szCs w:val="28"/>
        </w:rPr>
        <w:t>.</w:t>
      </w:r>
      <w:r w:rsidR="00EA3377">
        <w:rPr>
          <w:rFonts w:eastAsia="Times New Roman"/>
          <w:sz w:val="28"/>
          <w:szCs w:val="28"/>
          <w:lang w:val="uk-UA"/>
        </w:rPr>
        <w:t xml:space="preserve"> Процентне співвідношення анаеробів до аеробів складало </w:t>
      </w:r>
      <w:r w:rsidR="00966737" w:rsidRPr="00EA3377">
        <w:rPr>
          <w:rFonts w:eastAsia="Times New Roman"/>
          <w:sz w:val="28"/>
          <w:szCs w:val="28"/>
          <w:lang w:val="uk-UA"/>
        </w:rPr>
        <w:t xml:space="preserve">3:1. </w:t>
      </w:r>
      <w:r w:rsidR="00EA3377">
        <w:rPr>
          <w:rFonts w:eastAsia="Times New Roman"/>
          <w:sz w:val="28"/>
          <w:szCs w:val="28"/>
          <w:lang w:val="uk-UA"/>
        </w:rPr>
        <w:t>Однак на фоні потужної поліохіміотерапії у цей період у всіх дітей даної групи висів</w:t>
      </w:r>
      <w:r w:rsidR="00EA3377">
        <w:rPr>
          <w:rFonts w:eastAsia="Times New Roman"/>
          <w:sz w:val="28"/>
          <w:szCs w:val="28"/>
          <w:lang w:val="uk-UA"/>
        </w:rPr>
        <w:t>а</w:t>
      </w:r>
      <w:r w:rsidR="00EA3377">
        <w:rPr>
          <w:rFonts w:eastAsia="Times New Roman"/>
          <w:sz w:val="28"/>
          <w:szCs w:val="28"/>
          <w:lang w:val="uk-UA"/>
        </w:rPr>
        <w:t>лися дріжджоподібні гриби, часто реєструвалися анаеробно-аеробні грибкові асоціації мікроорганізмів</w:t>
      </w:r>
      <w:r w:rsidR="00966737" w:rsidRPr="00EA3377">
        <w:rPr>
          <w:rFonts w:eastAsia="Times New Roman"/>
          <w:sz w:val="28"/>
          <w:szCs w:val="28"/>
          <w:lang w:val="uk-UA"/>
        </w:rPr>
        <w:t>.</w:t>
      </w:r>
      <w:r w:rsidR="00EA3377">
        <w:rPr>
          <w:rFonts w:eastAsia="Times New Roman"/>
          <w:sz w:val="28"/>
          <w:szCs w:val="28"/>
          <w:lang w:val="uk-UA"/>
        </w:rPr>
        <w:t xml:space="preserve"> Аналізуючи видовий склад грибів роду </w:t>
      </w:r>
      <w:r w:rsidR="00966737" w:rsidRPr="00966737">
        <w:rPr>
          <w:rFonts w:eastAsia="MS Mincho"/>
          <w:sz w:val="28"/>
          <w:szCs w:val="28"/>
          <w:lang w:eastAsia="de-DE"/>
        </w:rPr>
        <w:t>Candida</w:t>
      </w:r>
      <w:r w:rsidR="00966737" w:rsidRPr="00EA3377">
        <w:rPr>
          <w:rFonts w:eastAsia="MS Mincho"/>
          <w:sz w:val="28"/>
          <w:szCs w:val="28"/>
          <w:lang w:val="uk-UA" w:eastAsia="de-DE"/>
        </w:rPr>
        <w:t xml:space="preserve">, </w:t>
      </w:r>
      <w:r w:rsidR="00EA3377">
        <w:rPr>
          <w:rFonts w:eastAsia="MS Mincho"/>
          <w:sz w:val="28"/>
          <w:szCs w:val="28"/>
          <w:lang w:val="uk-UA" w:eastAsia="de-DE"/>
        </w:rPr>
        <w:t xml:space="preserve">слід відзначити, що у </w:t>
      </w:r>
      <w:r w:rsidR="00966737" w:rsidRPr="00EA3377">
        <w:rPr>
          <w:rFonts w:eastAsia="MS Mincho"/>
          <w:sz w:val="28"/>
          <w:szCs w:val="28"/>
          <w:lang w:val="uk-UA"/>
        </w:rPr>
        <w:t xml:space="preserve">83% </w:t>
      </w:r>
      <w:r w:rsidR="00EA3377">
        <w:rPr>
          <w:rFonts w:eastAsia="MS Mincho"/>
          <w:sz w:val="28"/>
          <w:szCs w:val="28"/>
          <w:lang w:val="uk-UA"/>
        </w:rPr>
        <w:t xml:space="preserve">випадків виявлявся </w:t>
      </w:r>
      <w:r w:rsidR="00966737" w:rsidRPr="00966737">
        <w:rPr>
          <w:rFonts w:eastAsia="MS Mincho"/>
          <w:sz w:val="28"/>
          <w:szCs w:val="28"/>
          <w:lang w:eastAsia="de-DE"/>
        </w:rPr>
        <w:t>Candida</w:t>
      </w:r>
      <w:r w:rsidR="00966737" w:rsidRPr="00EA3377">
        <w:rPr>
          <w:rFonts w:eastAsia="MS Mincho"/>
          <w:sz w:val="28"/>
          <w:szCs w:val="28"/>
          <w:lang w:val="uk-UA" w:eastAsia="de-DE"/>
        </w:rPr>
        <w:t xml:space="preserve"> </w:t>
      </w:r>
      <w:r w:rsidR="00966737" w:rsidRPr="00966737">
        <w:rPr>
          <w:rFonts w:eastAsia="MS Mincho"/>
          <w:sz w:val="28"/>
          <w:szCs w:val="28"/>
          <w:lang w:eastAsia="de-DE"/>
        </w:rPr>
        <w:t>albicans</w:t>
      </w:r>
      <w:r w:rsidR="00966737" w:rsidRPr="00EA3377">
        <w:rPr>
          <w:rFonts w:eastAsia="MS Mincho"/>
          <w:sz w:val="28"/>
          <w:szCs w:val="28"/>
          <w:lang w:val="uk-UA" w:eastAsia="de-DE"/>
        </w:rPr>
        <w:t xml:space="preserve">, </w:t>
      </w:r>
      <w:r w:rsidR="00966737" w:rsidRPr="00EA3377">
        <w:rPr>
          <w:rFonts w:eastAsia="MS Mincho"/>
          <w:sz w:val="28"/>
          <w:szCs w:val="28"/>
          <w:lang w:val="uk-UA"/>
        </w:rPr>
        <w:t xml:space="preserve">у 35 % </w:t>
      </w:r>
      <w:r w:rsidR="00EA3377">
        <w:rPr>
          <w:rFonts w:eastAsia="MS Mincho"/>
          <w:sz w:val="28"/>
          <w:szCs w:val="28"/>
          <w:lang w:val="uk-UA"/>
        </w:rPr>
        <w:t>дітей</w:t>
      </w:r>
      <w:r w:rsidR="00966737" w:rsidRPr="00EA3377">
        <w:rPr>
          <w:rFonts w:eastAsia="MS Mincho"/>
          <w:sz w:val="28"/>
          <w:szCs w:val="28"/>
          <w:lang w:val="uk-UA"/>
        </w:rPr>
        <w:t xml:space="preserve"> </w:t>
      </w:r>
      <w:r w:rsidR="009703C4">
        <w:rPr>
          <w:rFonts w:eastAsia="MS Mincho"/>
          <w:sz w:val="28"/>
          <w:szCs w:val="28"/>
          <w:lang w:val="uk-UA"/>
        </w:rPr>
        <w:t xml:space="preserve">– </w:t>
      </w:r>
      <w:r w:rsidR="00966737" w:rsidRPr="00966737">
        <w:rPr>
          <w:rFonts w:eastAsia="MS Mincho"/>
          <w:sz w:val="28"/>
          <w:szCs w:val="28"/>
          <w:lang w:eastAsia="de-DE"/>
        </w:rPr>
        <w:t>Candida</w:t>
      </w:r>
      <w:r w:rsidR="00966737" w:rsidRPr="00EA3377">
        <w:rPr>
          <w:rFonts w:eastAsia="MS Mincho"/>
          <w:sz w:val="28"/>
          <w:szCs w:val="28"/>
          <w:lang w:val="uk-UA" w:eastAsia="de-DE"/>
        </w:rPr>
        <w:t xml:space="preserve"> </w:t>
      </w:r>
      <w:r w:rsidR="00966737" w:rsidRPr="00966737">
        <w:rPr>
          <w:rFonts w:eastAsia="MS Mincho"/>
          <w:sz w:val="28"/>
          <w:szCs w:val="28"/>
          <w:lang w:eastAsia="de-DE"/>
        </w:rPr>
        <w:t>tropicalis</w:t>
      </w:r>
      <w:r w:rsidR="00966737" w:rsidRPr="00EA3377">
        <w:rPr>
          <w:rFonts w:eastAsia="MS Mincho"/>
          <w:sz w:val="28"/>
          <w:szCs w:val="28"/>
          <w:lang w:val="uk-UA"/>
        </w:rPr>
        <w:t xml:space="preserve">, </w:t>
      </w:r>
      <w:r w:rsidR="00EA3377">
        <w:rPr>
          <w:rFonts w:eastAsia="MS Mincho"/>
          <w:sz w:val="28"/>
          <w:szCs w:val="28"/>
          <w:lang w:val="uk-UA"/>
        </w:rPr>
        <w:t xml:space="preserve">достатньо часто виділявся </w:t>
      </w:r>
      <w:r w:rsidR="00966737" w:rsidRPr="00966737">
        <w:rPr>
          <w:rFonts w:eastAsia="MS Mincho"/>
          <w:sz w:val="28"/>
          <w:szCs w:val="28"/>
          <w:lang w:eastAsia="de-DE"/>
        </w:rPr>
        <w:t>Candida</w:t>
      </w:r>
      <w:r w:rsidR="00966737" w:rsidRPr="00EA3377">
        <w:rPr>
          <w:rFonts w:eastAsia="MS Mincho"/>
          <w:sz w:val="28"/>
          <w:szCs w:val="28"/>
          <w:lang w:val="uk-UA" w:eastAsia="de-DE"/>
        </w:rPr>
        <w:t xml:space="preserve"> </w:t>
      </w:r>
      <w:r w:rsidR="00966737" w:rsidRPr="00966737">
        <w:rPr>
          <w:rFonts w:eastAsia="MS Mincho"/>
          <w:sz w:val="28"/>
          <w:szCs w:val="28"/>
          <w:lang w:eastAsia="de-DE"/>
        </w:rPr>
        <w:t>guillimondii</w:t>
      </w:r>
      <w:r w:rsidR="00966737" w:rsidRPr="00EA3377">
        <w:rPr>
          <w:rFonts w:eastAsia="MS Mincho"/>
          <w:sz w:val="28"/>
          <w:szCs w:val="28"/>
          <w:lang w:val="uk-UA" w:eastAsia="de-DE"/>
        </w:rPr>
        <w:t>,</w:t>
      </w:r>
      <w:r w:rsidR="005407CD">
        <w:rPr>
          <w:rFonts w:eastAsia="MS Mincho"/>
          <w:sz w:val="28"/>
          <w:szCs w:val="28"/>
          <w:lang w:val="uk-UA" w:eastAsia="de-DE"/>
        </w:rPr>
        <w:t xml:space="preserve"> що є </w:t>
      </w:r>
      <w:r w:rsidR="005407CD" w:rsidRPr="00A501AF">
        <w:rPr>
          <w:sz w:val="28"/>
          <w:szCs w:val="28"/>
          <w:lang w:val="uk-UA"/>
        </w:rPr>
        <w:t>пато</w:t>
      </w:r>
      <w:r w:rsidR="005407CD" w:rsidRPr="00A501AF">
        <w:rPr>
          <w:sz w:val="28"/>
          <w:szCs w:val="28"/>
          <w:lang w:val="uk-UA"/>
        </w:rPr>
        <w:t>г</w:t>
      </w:r>
      <w:r w:rsidR="005407CD" w:rsidRPr="00A501AF">
        <w:rPr>
          <w:sz w:val="28"/>
          <w:szCs w:val="28"/>
          <w:lang w:val="uk-UA"/>
        </w:rPr>
        <w:lastRenderedPageBreak/>
        <w:t>номонічним при гемобластозах у дітей</w:t>
      </w:r>
      <w:r w:rsidR="005407CD">
        <w:rPr>
          <w:sz w:val="28"/>
          <w:szCs w:val="28"/>
          <w:lang w:val="uk-UA"/>
        </w:rPr>
        <w:t>,</w:t>
      </w:r>
      <w:r w:rsidR="005407CD">
        <w:rPr>
          <w:rFonts w:eastAsia="MS Mincho"/>
          <w:sz w:val="28"/>
          <w:szCs w:val="28"/>
          <w:lang w:val="uk-UA" w:eastAsia="de-DE"/>
        </w:rPr>
        <w:t xml:space="preserve"> </w:t>
      </w:r>
      <w:r w:rsidR="00EA3377">
        <w:rPr>
          <w:rFonts w:eastAsia="MS Mincho"/>
          <w:sz w:val="28"/>
          <w:szCs w:val="28"/>
          <w:lang w:val="uk-UA" w:eastAsia="de-DE"/>
        </w:rPr>
        <w:t>рідко висівалися</w:t>
      </w:r>
      <w:r w:rsidR="00966737" w:rsidRPr="00EA3377">
        <w:rPr>
          <w:rFonts w:eastAsia="MS Mincho"/>
          <w:sz w:val="28"/>
          <w:szCs w:val="28"/>
          <w:lang w:val="uk-UA"/>
        </w:rPr>
        <w:t xml:space="preserve"> </w:t>
      </w:r>
      <w:r w:rsidR="00966737" w:rsidRPr="00966737">
        <w:rPr>
          <w:rFonts w:eastAsia="MS Mincho"/>
          <w:sz w:val="28"/>
          <w:szCs w:val="28"/>
          <w:lang w:eastAsia="de-DE"/>
        </w:rPr>
        <w:t>Candida</w:t>
      </w:r>
      <w:r w:rsidR="00966737" w:rsidRPr="00EA3377">
        <w:rPr>
          <w:rFonts w:eastAsia="MS Mincho"/>
          <w:sz w:val="28"/>
          <w:szCs w:val="28"/>
          <w:lang w:val="uk-UA" w:eastAsia="de-DE"/>
        </w:rPr>
        <w:t xml:space="preserve"> </w:t>
      </w:r>
      <w:r w:rsidR="00966737" w:rsidRPr="00966737">
        <w:rPr>
          <w:rFonts w:eastAsia="MS Mincho"/>
          <w:sz w:val="28"/>
          <w:szCs w:val="28"/>
          <w:lang w:eastAsia="de-DE"/>
        </w:rPr>
        <w:t>krusei</w:t>
      </w:r>
      <w:r w:rsidR="00966737" w:rsidRPr="00EA3377">
        <w:rPr>
          <w:rFonts w:eastAsia="MS Mincho"/>
          <w:sz w:val="28"/>
          <w:szCs w:val="28"/>
          <w:lang w:val="uk-UA" w:eastAsia="de-DE"/>
        </w:rPr>
        <w:t xml:space="preserve"> </w:t>
      </w:r>
      <w:r w:rsidR="00EA3377">
        <w:rPr>
          <w:rFonts w:eastAsia="MS Mincho"/>
          <w:sz w:val="28"/>
          <w:szCs w:val="28"/>
          <w:lang w:val="uk-UA" w:eastAsia="de-DE"/>
        </w:rPr>
        <w:t>та</w:t>
      </w:r>
      <w:r w:rsidR="00966737" w:rsidRPr="00EA3377">
        <w:rPr>
          <w:rFonts w:eastAsia="MS Mincho"/>
          <w:sz w:val="28"/>
          <w:szCs w:val="28"/>
          <w:lang w:val="uk-UA"/>
        </w:rPr>
        <w:t xml:space="preserve"> </w:t>
      </w:r>
      <w:r w:rsidR="00966737" w:rsidRPr="00966737">
        <w:rPr>
          <w:rFonts w:eastAsia="MS Mincho"/>
          <w:sz w:val="28"/>
          <w:szCs w:val="28"/>
          <w:lang w:eastAsia="de-DE"/>
        </w:rPr>
        <w:t>Candida</w:t>
      </w:r>
      <w:r w:rsidR="00966737" w:rsidRPr="00EA3377">
        <w:rPr>
          <w:rFonts w:eastAsia="MS Mincho"/>
          <w:sz w:val="28"/>
          <w:szCs w:val="28"/>
          <w:lang w:val="uk-UA" w:eastAsia="de-DE"/>
        </w:rPr>
        <w:t xml:space="preserve"> </w:t>
      </w:r>
      <w:r w:rsidR="00966737" w:rsidRPr="00966737">
        <w:rPr>
          <w:rFonts w:eastAsia="MS Mincho"/>
          <w:sz w:val="28"/>
          <w:szCs w:val="28"/>
          <w:lang w:eastAsia="de-DE"/>
        </w:rPr>
        <w:t>pseudotropicalis</w:t>
      </w:r>
      <w:r w:rsidR="00966737" w:rsidRPr="00EA3377">
        <w:rPr>
          <w:rFonts w:eastAsia="MS Mincho"/>
          <w:sz w:val="28"/>
          <w:szCs w:val="28"/>
          <w:lang w:val="uk-UA" w:eastAsia="de-DE"/>
        </w:rPr>
        <w:t>.</w:t>
      </w:r>
    </w:p>
    <w:p w:rsidR="00966737" w:rsidRPr="00966737" w:rsidRDefault="00EA3377" w:rsidP="00966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всіх дітей з ГЛЛ в період ремісії спостерігалося зменшення, а у ряду хворих </w:t>
      </w:r>
      <w:r w:rsidR="00966737" w:rsidRPr="00EA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повне зникнення нормальних сімбіонтів</w:t>
      </w:r>
      <w:r w:rsidR="00966737" w:rsidRPr="00EA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слинних стрептококів, лактобактерій та епідермальних стафілококів. Мікрофлора зубного нальоту дітей під час рецидиву ГЛЛ зазнає критичних змін з розвитком декомпенс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ваного дисбактеріозу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66737" w:rsidRPr="00EA3377" w:rsidRDefault="00EA3377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Таким чином, картина мікробіоценозу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рота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онк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захворюванням крові значно від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різняється від тако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ї у здорових людей. При цьому відзначалася перевага умовно-патогенних та патогенних мікроорган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змів, кількість яких достовірно перевищувала дані показників сапрофітної мікрофлори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Разом з тим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 період рецидиву ГЛЛ був встановлений вираж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ний дисбіоз порожнини рота, який характеризувався зниженням активності компенсаторних реакцій та відсутністю можливостей протистояти мікробній агресії </w:t>
      </w:r>
      <w:r w:rsidR="00B475BC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зв</w:t>
      </w:r>
      <w:r w:rsidRPr="00EA3377">
        <w:rPr>
          <w:rFonts w:ascii="Times New Roman" w:eastAsia="MS Mincho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язку із порушенням колонізаційної резистентності, що може від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бражатися на перебігу та лікуванні основних стоматологічних захворювань</w:t>
      </w:r>
      <w:r w:rsidR="00966737" w:rsidRPr="00EA3377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966737" w:rsidRPr="00EA3377" w:rsidRDefault="00EA3377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Дослідження факторів неспецифічної резистентності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рота показало низький вихідний рівень таких показників, як лізоцим та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α</w:t>
      </w:r>
      <w:r w:rsidR="00966737" w:rsidRPr="00EA3377"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дефензини</w:t>
      </w:r>
      <w:r w:rsidR="00966737" w:rsidRPr="00EA337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HNP</w:t>
      </w:r>
      <w:r w:rsidR="00966737" w:rsidRPr="00EA337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1,2,3)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ротовій рідині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ГЛЛ, що, вочевидь, поясн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ється порушенням системи антимікробного захисту</w:t>
      </w:r>
      <w:r w:rsidR="00966737" w:rsidRPr="00EA3377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При цьому найбільш 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ражений низький рівень місцевого імунітету був встановлений у дітей у пе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ший гострий період онкозахворювання та під час його рецидиву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нашу думку, це, можливо, зумовлене зниженням секреції ротової рідини та збіл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шенням її в</w:t>
      </w:r>
      <w:r w:rsidRPr="00EA3377">
        <w:rPr>
          <w:rFonts w:ascii="Times New Roman" w:eastAsia="MS Mincho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язкості та кількості мікроф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лори у порожнині рота на </w:t>
      </w:r>
      <w:r w:rsidR="00B475BC">
        <w:rPr>
          <w:rFonts w:ascii="Times New Roman" w:eastAsia="MS Mincho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 лік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вання хіміопрепаратами дітей з ГЛЛ</w:t>
      </w:r>
      <w:r w:rsidR="00966737" w:rsidRPr="00EA3377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966737" w:rsidRPr="00DC3B4A" w:rsidRDefault="00DC3B4A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Клініко-лабораторні результати лікування СОПР та тканин пародонту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гострим </w:t>
      </w:r>
      <w:r w:rsidR="00B475BC">
        <w:rPr>
          <w:rFonts w:ascii="Times New Roman" w:eastAsia="MS Mincho" w:hAnsi="Times New Roman" w:cs="Times New Roman"/>
          <w:sz w:val="28"/>
          <w:szCs w:val="28"/>
          <w:lang w:val="uk-UA"/>
        </w:rPr>
        <w:t>лімфобластним лейкозом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встановили позитивну динаміку 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сля застосування розробленого нами ЛПК. Для оцінки клінічної ефективності проведеного лікування запальних захворювань тканин пародонту та слизової оболонки порожнини рота використовували клінічні показники та індекси,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що характеризують їхній стан</w:t>
      </w:r>
      <w:r w:rsidR="00966737"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 цією метою нами було обстежено 126 дітей у віці від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 xml:space="preserve">2-х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до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 xml:space="preserve"> 18-ти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років, у яких був діагностований гострий лімфоблас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ний лейкоз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 xml:space="preserve">ЛЛ),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 лікування стоматологічної патології у них проводили розробленим нами ЛПК (основна група). До групи порівняння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війшли 35 дітей, які хворіли на ГЛЛ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але ураження СОПР лікували за стандартними 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тод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ками.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сі діти обох груп гігієну порожнини рота здійснювали за допом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гою чи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щення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зубів дуже м</w:t>
      </w:r>
      <w:r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якими або м</w:t>
      </w:r>
      <w:r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якими зубними щітками дитячою 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бною пастою (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віку) та безспиртового протизапального лізоц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ого зубного еліксиру. Дітям, у яких основне онкозахворювання крові знаходилося у першому гострому періоді або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періоді рецидиву, проводили ЛПЗ, включаюч</w:t>
      </w:r>
      <w:r w:rsidR="004C3C01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4C3C01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себе аплікації </w:t>
      </w:r>
      <w:r w:rsidR="00467B74">
        <w:rPr>
          <w:rFonts w:ascii="Times New Roman" w:eastAsia="MS Mincho" w:hAnsi="Times New Roman" w:cs="Times New Roman"/>
          <w:sz w:val="28"/>
          <w:szCs w:val="28"/>
          <w:lang w:val="uk-UA"/>
        </w:rPr>
        <w:t>мукозальних гелів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що містять кверцетин та велику кількість поліфенолів, обробляли порожнину рота антисептиком із сумішшю бісульфату алкалоїдів 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сангвінарину та хелеритрину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а також </w:t>
      </w:r>
      <w:r w:rsidRPr="00035467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035467" w:rsidRPr="00035467">
        <w:rPr>
          <w:rFonts w:ascii="Times New Roman" w:eastAsia="MS Mincho" w:hAnsi="Times New Roman" w:cs="Times New Roman"/>
          <w:sz w:val="28"/>
          <w:szCs w:val="28"/>
          <w:lang w:val="uk-UA"/>
        </w:rPr>
        <w:t>ну</w:t>
      </w:r>
      <w:r w:rsidR="00035467" w:rsidRPr="00035467">
        <w:rPr>
          <w:rFonts w:ascii="Times New Roman" w:eastAsia="MS Mincho" w:hAnsi="Times New Roman" w:cs="Times New Roman"/>
          <w:sz w:val="28"/>
          <w:szCs w:val="28"/>
          <w:lang w:val="uk-UA"/>
        </w:rPr>
        <w:t>т</w:t>
      </w:r>
      <w:r w:rsidR="00035467" w:rsidRPr="00035467">
        <w:rPr>
          <w:rFonts w:ascii="Times New Roman" w:eastAsia="MS Mincho" w:hAnsi="Times New Roman" w:cs="Times New Roman"/>
          <w:sz w:val="28"/>
          <w:szCs w:val="28"/>
          <w:lang w:val="uk-UA"/>
        </w:rPr>
        <w:t>рішньо</w:t>
      </w:r>
      <w:r w:rsidRPr="0003546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призначали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пробіотичний та антигрибковий препарати. </w:t>
      </w:r>
      <w:r w:rsidRPr="004C3C01">
        <w:rPr>
          <w:rFonts w:ascii="Times New Roman" w:eastAsia="MS Mincho" w:hAnsi="Times New Roman" w:cs="Times New Roman"/>
          <w:sz w:val="28"/>
          <w:szCs w:val="28"/>
          <w:lang w:val="uk-UA"/>
        </w:rPr>
        <w:t>На етапі еп</w:t>
      </w:r>
      <w:r w:rsidRPr="004C3C01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Pr="004C3C01">
        <w:rPr>
          <w:rFonts w:ascii="Times New Roman" w:eastAsia="MS Mincho" w:hAnsi="Times New Roman" w:cs="Times New Roman"/>
          <w:sz w:val="28"/>
          <w:szCs w:val="28"/>
          <w:lang w:val="uk-UA"/>
        </w:rPr>
        <w:t>телізації афт дітям призначали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препарат антиоксидантних вітамінів та пров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тамінів на основі збалансованої суміші рослинних масел</w:t>
      </w:r>
      <w:r w:rsidR="00966737"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(со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єве</w:t>
      </w:r>
      <w:r w:rsidR="00966737"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кукурудзяне</w:t>
      </w:r>
      <w:r w:rsidR="00966737"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гірчичне масло</w:t>
      </w:r>
      <w:r w:rsidR="00966737"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beta</w:t>
      </w:r>
      <w:r w:rsidR="00966737"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-каротин,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alpha</w:t>
      </w:r>
      <w:r w:rsidR="00966737"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та</w:t>
      </w:r>
      <w:r w:rsidR="00966737"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gamma</w:t>
      </w:r>
      <w:r w:rsidR="00966737"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>-токоферол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966737" w:rsidRPr="00DC3B4A">
        <w:rPr>
          <w:rFonts w:ascii="Times New Roman" w:eastAsia="MS Mincho" w:hAnsi="Times New Roman" w:cs="Times New Roman"/>
          <w:sz w:val="28"/>
          <w:szCs w:val="28"/>
          <w:lang w:val="uk-UA"/>
        </w:rPr>
        <w:t>).</w:t>
      </w:r>
    </w:p>
    <w:p w:rsidR="00966737" w:rsidRPr="004A5D58" w:rsidRDefault="00DC3B4A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Лікування запальних захворювань СОПР у періоді ремісії основного онкогематологічного захворювання проводили за допомогою</w:t>
      </w:r>
      <w:r w:rsidR="004A5D5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лізоцим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 w:rsidR="004A5D58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4A5D58">
        <w:rPr>
          <w:rFonts w:ascii="Times New Roman" w:eastAsia="MS Mincho" w:hAnsi="Times New Roman" w:cs="Times New Roman"/>
          <w:sz w:val="28"/>
          <w:szCs w:val="28"/>
          <w:lang w:val="uk-UA"/>
        </w:rPr>
        <w:t>го ополіскувача, поліфенол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овмісн</w:t>
      </w:r>
      <w:r w:rsidR="004A5D58">
        <w:rPr>
          <w:rFonts w:ascii="Times New Roman" w:eastAsia="MS Mincho" w:hAnsi="Times New Roman" w:cs="Times New Roman"/>
          <w:sz w:val="28"/>
          <w:szCs w:val="28"/>
          <w:lang w:val="uk-UA"/>
        </w:rPr>
        <w:t>ого мукозального гелю та пробіотичного препарат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966737" w:rsidRPr="004A5D58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966737" w:rsidRPr="004A5D58" w:rsidRDefault="004A5D58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Аналіз цифрових значень індексів кровоточивості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та РМА у дітей 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новної групи, стоматологічні захворювання яких протікали, як у першому гострому періоді, </w:t>
      </w:r>
      <w:r w:rsidR="00297BFF">
        <w:rPr>
          <w:rFonts w:ascii="Times New Roman" w:eastAsia="MS Mincho" w:hAnsi="Times New Roman" w:cs="Times New Roman"/>
          <w:sz w:val="28"/>
          <w:szCs w:val="28"/>
          <w:lang w:val="uk-UA"/>
        </w:rPr>
        <w:t>в періоді рецидиву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 так і в періоді ремісії основного захв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рювання крові, встановив позитивну динаміку, що підтверджуєт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ься даними в кінці дослідження,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де індекс кровоточивості відповідав </w:t>
      </w:r>
      <w:r w:rsidR="00966737" w:rsidRPr="004A5D58">
        <w:rPr>
          <w:rFonts w:ascii="Times New Roman" w:eastAsia="MS Mincho" w:hAnsi="Times New Roman" w:cs="Times New Roman"/>
          <w:sz w:val="28"/>
          <w:szCs w:val="28"/>
          <w:lang w:val="uk-UA"/>
        </w:rPr>
        <w:t>0,64 ± 0,034 бал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ів</w:t>
      </w:r>
      <w:r w:rsidR="00966737" w:rsidRPr="004A5D5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що в 4 рази менше, а індекс </w:t>
      </w:r>
      <w:r w:rsidR="00966737" w:rsidRPr="004A5D58">
        <w:rPr>
          <w:rFonts w:ascii="Times New Roman" w:eastAsia="MS Mincho" w:hAnsi="Times New Roman" w:cs="Times New Roman"/>
          <w:sz w:val="28"/>
          <w:szCs w:val="28"/>
          <w:lang w:val="uk-UA"/>
        </w:rPr>
        <w:t>РМА –  в 2,5 раз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 менш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порівняно з вихідними зн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ченнями на початку лікування. При цьому пародонтопротекторна ефекти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ність після проведеного лікування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зі стоматитом та ГХКГ, які прот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кали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першому гострому періоді або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періоді рецидиву ГЛЛ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кінці лік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вання склала </w:t>
      </w:r>
      <w:r w:rsidR="00966737" w:rsidRPr="004A5D5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25,5%,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 в періоді ремісії</w:t>
      </w:r>
      <w:r w:rsidR="00966737" w:rsidRPr="004A5D5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 42,6%.</w:t>
      </w:r>
    </w:p>
    <w:p w:rsidR="00966737" w:rsidRPr="00E52CAE" w:rsidRDefault="00E52CAE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Індексна оцінка гігієнічного стану порожнини рота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</w:t>
      </w:r>
      <w:r w:rsidR="00966737" w:rsidRPr="00E52CA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ГХКГ,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разково-некротичним та </w:t>
      </w:r>
      <w:r w:rsidR="00797B32">
        <w:rPr>
          <w:rFonts w:ascii="Times New Roman" w:eastAsia="MS Mincho" w:hAnsi="Times New Roman" w:cs="Times New Roman"/>
          <w:sz w:val="28"/>
          <w:szCs w:val="28"/>
          <w:lang w:val="uk-UA"/>
        </w:rPr>
        <w:t>кандидоз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ним стоматитом, що страждають на ГЛЛ</w:t>
      </w:r>
      <w:r w:rsidR="00AD6A1E" w:rsidRPr="00E52CA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який знаходиться на різній стадії розвитку, після застосування розроблених методів лікування показала, що застосування </w:t>
      </w:r>
      <w:r w:rsidR="004C3C01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комплексі лізоцим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ого ополіскувача, що має очищувальні та протизапальні властивості з мукозал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ними гелями, що містять кверцетин, поліфеноли, препаратом антиоксидан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них вітамінів, антигрибкови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ми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пробіотичним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препаратами достовірно знижували показники індексів </w:t>
      </w:r>
      <w:r w:rsidR="00F16417">
        <w:rPr>
          <w:rFonts w:ascii="Times New Roman" w:eastAsia="MS Mincho" w:hAnsi="Times New Roman" w:cs="Times New Roman"/>
          <w:sz w:val="28"/>
          <w:szCs w:val="28"/>
        </w:rPr>
        <w:t>Silness</w:t>
      </w:r>
      <w:r w:rsidR="00F16417" w:rsidRPr="00F16417"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F16417">
        <w:rPr>
          <w:rFonts w:ascii="Times New Roman" w:eastAsia="MS Mincho" w:hAnsi="Times New Roman" w:cs="Times New Roman"/>
          <w:sz w:val="28"/>
          <w:szCs w:val="28"/>
        </w:rPr>
        <w:t>Loe</w:t>
      </w:r>
      <w:r w:rsidR="00966737" w:rsidRPr="00E52CA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та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OHI</w:t>
      </w:r>
      <w:r w:rsidR="00966737" w:rsidRPr="00E52CAE"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S</w:t>
      </w:r>
      <w:r w:rsidR="00966737" w:rsidRPr="00E52CA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 всіх дітей, що спостер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гаються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як у першому гострому періоді та періоді рецидиву основного захв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рювання, так і в періоді ремісії за весь час спостережень</w:t>
      </w:r>
      <w:r w:rsidR="00966737" w:rsidRPr="00E52CA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(р &lt; 0,05).</w:t>
      </w:r>
    </w:p>
    <w:p w:rsidR="00966737" w:rsidRPr="00966737" w:rsidRDefault="00E52CAE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Вивчення динаміки рівня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 xml:space="preserve">МДА –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основного маркер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запалення у рот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вій порожнині, встановило, що на початку лікування він був збільшени</w:t>
      </w:r>
      <w:r w:rsidR="004C3C01">
        <w:rPr>
          <w:rFonts w:ascii="Times New Roman" w:eastAsia="MS Mincho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 дітей з ГЛЛ у першому гострому періоді та в періоді рецидиву у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2,6 раз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у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2,8 раз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Разом з тим, достовірне зн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>иження показника, що вивчається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як у порівнянні з його вихідними даними, так і в співставленні з групою порі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няння, було визначено </w:t>
      </w:r>
      <w:r w:rsidR="00EC001F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основній групі 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дітей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під дією комбінації</w:t>
      </w:r>
      <w:r w:rsidR="007C005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DC4CC3" w:rsidRPr="00DC4CC3">
        <w:rPr>
          <w:rFonts w:ascii="Times New Roman" w:eastAsia="MS Mincho" w:hAnsi="Times New Roman" w:cs="Times New Roman"/>
          <w:sz w:val="28"/>
          <w:szCs w:val="28"/>
          <w:lang w:val="uk-UA"/>
        </w:rPr>
        <w:t>л</w:t>
      </w:r>
      <w:r w:rsidRPr="00DC4CC3">
        <w:rPr>
          <w:rFonts w:ascii="Times New Roman" w:eastAsia="MS Mincho" w:hAnsi="Times New Roman" w:cs="Times New Roman"/>
          <w:sz w:val="28"/>
          <w:szCs w:val="28"/>
          <w:lang w:val="uk-UA"/>
        </w:rPr>
        <w:t>ізоци</w:t>
      </w:r>
      <w:r w:rsidRPr="00DC4CC3">
        <w:rPr>
          <w:rFonts w:ascii="Times New Roman" w:eastAsia="MS Mincho" w:hAnsi="Times New Roman" w:cs="Times New Roman"/>
          <w:sz w:val="28"/>
          <w:szCs w:val="28"/>
          <w:lang w:val="uk-UA"/>
        </w:rPr>
        <w:t>м</w:t>
      </w:r>
      <w:r w:rsidR="009703C4" w:rsidRPr="00DC4CC3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 w:rsidRPr="00DC4CC3">
        <w:rPr>
          <w:rFonts w:ascii="Times New Roman" w:eastAsia="MS Mincho" w:hAnsi="Times New Roman" w:cs="Times New Roman"/>
          <w:sz w:val="28"/>
          <w:szCs w:val="28"/>
          <w:lang w:val="uk-UA"/>
        </w:rPr>
        <w:t>ого ополіскувача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 аплікацій кверцетин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вмісного мукозального гелю 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гелю з поліфенолами, ротових ванноч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 з антисептиком, що містить алколо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ди 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сангвінарину та хелеритрину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727BD3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поєднанні із пробіотичним, протигрибк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вим та кератопластичним препаратами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Встановлена позитивна динаміка спостерігалася протягом </w:t>
      </w:r>
      <w:r w:rsidR="00727BD3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сього періоду дослідження та залежала від періоду перебігу ГЛЛ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66737" w:rsidRPr="00966737" w:rsidRDefault="00B0526B" w:rsidP="00966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Аналіз активності одного з найважливіших антиоксидантних ферментів 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каталази свідчив про її достатньо низький вихідний рівень у ротовій рідині </w:t>
      </w:r>
      <w:r w:rsidR="00727BD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7BD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сіх обстежених дітей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  0,11 ± 0,006 – 0,12 ± 0,006 мкат/л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дітей в пе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ший гострий період та в період рецидиву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 до 0,16 ± 0,008 – 0,17 ± 0,009 мкат/л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період ремісії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 вона не залежала від віку, а лише від період</w:t>
      </w:r>
      <w:r w:rsidR="00EC001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звитку основного захворювання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ЛЛ.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 пов</w:t>
      </w:r>
      <w:r w:rsidRPr="00B0526B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C001F">
        <w:rPr>
          <w:rFonts w:ascii="Times New Roman" w:eastAsia="Times New Roman" w:hAnsi="Times New Roman" w:cs="Times New Roman"/>
          <w:sz w:val="28"/>
          <w:szCs w:val="28"/>
          <w:lang w:val="uk-UA"/>
        </w:rPr>
        <w:t>язано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на нашу думку, із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спроможністю механізмів АОС у порожнині рота на </w:t>
      </w:r>
      <w:r w:rsidR="00B475BC">
        <w:rPr>
          <w:rFonts w:ascii="Times New Roman" w:eastAsia="Times New Roman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дії загальних факт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 ризику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 цитостатиків та інших протипухлинних препаратів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тистояти запаленню </w:t>
      </w:r>
      <w:r w:rsidR="0047393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тканинах СОПР у обраного контингенту дітей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Однак проведення розроблених ЛПЗ, що включають у себе проведення професійної гігієни порожнини рота та подальшого лікування розробленими ЛПК,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нює виражену стимулюючу дію на стан АОС, яка багато в чому визначає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гальний стан тканин пародонту та СОПР</w:t>
      </w:r>
      <w:r w:rsidR="00966737"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737" w:rsidRPr="00B0526B" w:rsidRDefault="00B0526B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Вивчення факторів місцевого імунітету показало низький вихідний 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вень показників лізоциму та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α-дефензин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 xml:space="preserve">в (HNP 1-3)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ротовій рідині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всіх обстежених дітей, незалежно від віку, особливо у тих, основне захворювання яких знаходилося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першому гострому періоді або в періоді рецидиву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що, вочевидь, пояснюється порушенням системи антимікробного захисту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рожнині рота. Отримані результати досліджень свідчать про стимулюючий вплив проведених ЛПЗ на природну антимікробну систему захисту порожн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ни рота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сіх дітей обох груп спостереження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Подібне явище, на нашу ду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ку, слід розглядати як позитивний процес, що сприяє підвищенню резистен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ності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тканинах пародонту та СОПР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Однак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більш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суттєве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стабільне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збільшення концентрації</w:t>
      </w:r>
      <w:r w:rsidR="00966737" w:rsidRPr="00B0526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HNP</w:t>
      </w:r>
      <w:r w:rsidR="00966737" w:rsidRPr="00B0526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1-3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було встановлен</w:t>
      </w:r>
      <w:r w:rsidR="00D67360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ротовій рідині дітей основних груп, що, можливо, зумовлен</w:t>
      </w:r>
      <w:r w:rsidR="00D67360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підвищенням секреції ротової рід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 та зменшенням кількості мікрофлори порожнини рота під впливом розр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блених нами методів лікування</w:t>
      </w:r>
      <w:r w:rsidR="00966737" w:rsidRPr="00B0526B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966737" w:rsidRPr="00F70F05" w:rsidRDefault="00F914CD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D95E79">
        <w:rPr>
          <w:rFonts w:ascii="Times New Roman" w:eastAsia="MS Mincho" w:hAnsi="Times New Roman" w:cs="Times New Roman"/>
          <w:sz w:val="28"/>
          <w:szCs w:val="28"/>
          <w:lang w:val="uk-UA"/>
        </w:rPr>
        <w:t>С</w:t>
      </w:r>
      <w:r w:rsidR="00B0526B" w:rsidRPr="00D95E79">
        <w:rPr>
          <w:rFonts w:ascii="Times New Roman" w:eastAsia="MS Mincho" w:hAnsi="Times New Roman" w:cs="Times New Roman"/>
          <w:sz w:val="28"/>
          <w:szCs w:val="28"/>
          <w:lang w:val="uk-UA"/>
        </w:rPr>
        <w:t>тупінь</w:t>
      </w:r>
      <w:r w:rsidR="00B0526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мікробного обсім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еніння порожнини рота патогенною мікро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ф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лорою </w:t>
      </w:r>
      <w:r w:rsidR="00A55CBF">
        <w:rPr>
          <w:rFonts w:ascii="Times New Roman" w:eastAsia="MS Mincho" w:hAnsi="Times New Roman" w:cs="Times New Roman"/>
          <w:sz w:val="28"/>
          <w:szCs w:val="28"/>
          <w:lang w:val="uk-UA"/>
        </w:rPr>
        <w:t>визначали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 показниками рівня активності ферменту уреази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Застос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вання лізоцим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ого зубного еліксиру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всіх дітей груп порівняння здій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с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нювало короткочасну дію та сл</w:t>
      </w:r>
      <w:r w:rsidR="00A55CBF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бкий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нормалізуючий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ефект, знижуючи а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тивність уреази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ротовій рідині, але при цьому не було достатнім для посл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блення дії УПМ</w:t>
      </w:r>
      <w:r w:rsidR="00966737" w:rsidRPr="00F70F0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Систематичне проведення курсів лікування шляхом заст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сування розробленого ЛПК у комбінації з гігієною порожнини рота, у біл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шій мірі знижували ступінь </w:t>
      </w:r>
      <w:r w:rsidR="00F70F05" w:rsidRPr="00D95E79">
        <w:rPr>
          <w:rFonts w:ascii="Times New Roman" w:eastAsia="MS Mincho" w:hAnsi="Times New Roman" w:cs="Times New Roman"/>
          <w:sz w:val="28"/>
          <w:szCs w:val="28"/>
          <w:lang w:val="uk-UA"/>
        </w:rPr>
        <w:t>обсіменіння патогенно</w:t>
      </w:r>
      <w:r w:rsidR="00D95E79" w:rsidRPr="00D95E79">
        <w:rPr>
          <w:rFonts w:ascii="Times New Roman" w:eastAsia="MS Mincho" w:hAnsi="Times New Roman" w:cs="Times New Roman"/>
          <w:sz w:val="28"/>
          <w:szCs w:val="28"/>
          <w:lang w:val="uk-UA"/>
        </w:rPr>
        <w:t>ї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УПМ порожнини рота</w:t>
      </w:r>
      <w:r w:rsidR="00966737" w:rsidRPr="00F70F0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Причому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тих пацієнтів, основне захворювання яких знаходилося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періоді 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ремісії, ці позитивні зміни носили найслабк</w:t>
      </w:r>
      <w:r w:rsidR="00A55CBF">
        <w:rPr>
          <w:rFonts w:ascii="Times New Roman" w:eastAsia="MS Mincho" w:hAnsi="Times New Roman" w:cs="Times New Roman"/>
          <w:sz w:val="28"/>
          <w:szCs w:val="28"/>
          <w:lang w:val="uk-UA"/>
        </w:rPr>
        <w:t>іш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>ий та найтриваліший характер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="00F70F0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відміну від інших досліджуваних груп</w:t>
      </w:r>
      <w:r w:rsidR="00966737" w:rsidRPr="00F70F0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966737" w:rsidRPr="00966737" w:rsidRDefault="00692FE0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Відомо, що при порушенні ФМС розвивається дисбіоз, характерною ознакою якого є зниження кількості пробіотичних бактерій у порожнині рота на </w:t>
      </w:r>
      <w:r w:rsidR="00B475BC">
        <w:rPr>
          <w:rFonts w:ascii="Times New Roman" w:eastAsia="MS Mincho" w:hAnsi="Times New Roman" w:cs="Times New Roman"/>
          <w:sz w:val="28"/>
          <w:szCs w:val="28"/>
          <w:lang w:val="uk-UA"/>
        </w:rPr>
        <w:t>тл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 збільшення УПМ та підвищення рівня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її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інтоксикації. Дисбіоз поро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ж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нини рота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призводить до порушення колонізаційної резистентності поро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>ж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>нини рота, розлад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ів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місцевого імунітету, що тягне за собою розвиток та пр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>гресування запальних захворювань у тканинах пародонту та СОПР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Аналіз результатів при вивченні </w:t>
      </w:r>
      <w:r w:rsidR="00966737" w:rsidRP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СД 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порожнині рота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</w:t>
      </w:r>
      <w:r w:rsidR="00966737" w:rsidRP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ГХКГ 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>та виразково-</w:t>
      </w:r>
      <w:r w:rsidR="00797B32">
        <w:rPr>
          <w:rFonts w:ascii="Times New Roman" w:eastAsia="MS Mincho" w:hAnsi="Times New Roman" w:cs="Times New Roman"/>
          <w:sz w:val="28"/>
          <w:szCs w:val="28"/>
          <w:lang w:val="uk-UA"/>
        </w:rPr>
        <w:t>кандидоз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ним стоматитом у першому гострому періоді та в періоді рецидиву гострих форм лейкемії дозволив встановити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IV</w:t>
      </w:r>
      <w:r w:rsidR="00966737" w:rsidRP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ступінь дисбіозу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декомпе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>н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>сованій формі на початку лікування</w:t>
      </w:r>
      <w:r w:rsidR="00966737" w:rsidRPr="00512A78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Однак, не дивлячись на позитивну д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наміку лікування розробленими ЛПК,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кінці дослідження ступінь дисбіозу перевищував його нормальні значення у 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2-3 раз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При цьому встановлено, що ступінь дисбіозу був найвищим у дітей у першому гострому періоді та в п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 w:rsidR="00512A78">
        <w:rPr>
          <w:rFonts w:ascii="Times New Roman" w:eastAsia="MS Mincho" w:hAnsi="Times New Roman" w:cs="Times New Roman"/>
          <w:sz w:val="28"/>
          <w:szCs w:val="28"/>
          <w:lang w:val="uk-UA"/>
        </w:rPr>
        <w:t>ріоді рецидиву гострих форм лейкозу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66737" w:rsidRPr="00966737" w:rsidRDefault="00512A78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Аналіз отриманих даних встановив знижений рівень функціона</w:t>
      </w:r>
      <w:r w:rsidR="00B475B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льної активності КБЕ порівняно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 нормою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сіх досліджуваних групах дітей із 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пальними захворюваннями у порожнині рота на фоні ГЛЛ, як у перший гос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рий період та в період рецидиву, так і в період ремісії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Про це свідчить низ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кий відсоток рухливих ядер КБЕ та мала амплітуда їх зміщення. Разом з тим, ще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більшій мірі знижена амплітуда зміщення плазмолем, а, відповідно, й співвідношення </w:t>
      </w:r>
      <w:r w:rsidR="00966737" w:rsidRP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Апл/Ая – 1,03.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При цьому застосування розроблених </w:t>
      </w:r>
      <w:r w:rsidR="00966737" w:rsidRPr="00512A7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ЛПМ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призводить до нормалізації енергетичних процесів у КБЕ, стабілізації яде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ного та мембранного потенціалів у них, та є показником нормалізації адапт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ційних та функціональних реакцій, починаючи з клітинного рівня, що при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водить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 кінцевому результаті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 підвищення загальної та місцевої несп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цифічної резистентності </w:t>
      </w:r>
      <w:r w:rsidR="00473934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у всіх досліджуваних групах з ГЛЛ</w:t>
      </w:r>
      <w:r w:rsidR="00966737" w:rsidRPr="00512A78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Разом з тим, найбільш виражена реакція на корекцію запропонованим способом була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встановлена у дітей, основне онкогематологічне захворювання яких було у стадії ремісії</w:t>
      </w:r>
      <w:r w:rsidR="00966737" w:rsidRPr="0096673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66737" w:rsidRPr="003F432B" w:rsidRDefault="00676F5A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Стабільність фізичних властивостей ротової рідини, зокрема, таких як швидкість слиновиділення та її в</w:t>
      </w:r>
      <w:r w:rsidRPr="00676F5A">
        <w:rPr>
          <w:rFonts w:ascii="Times New Roman" w:eastAsia="MS Mincho" w:hAnsi="Times New Roman" w:cs="Times New Roman"/>
          <w:sz w:val="28"/>
          <w:szCs w:val="28"/>
        </w:rPr>
        <w:t>’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язкість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, є необхідною умовою для нормал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ного функціонування органів та тканин порожнини рота. Проведені досл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дження ротової рідини показали, що </w:t>
      </w:r>
      <w:r w:rsidR="00B3087E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дітей з ГХКГ та виразково-</w:t>
      </w:r>
      <w:r w:rsidR="00797B32">
        <w:rPr>
          <w:rFonts w:ascii="Times New Roman" w:eastAsia="MS Mincho" w:hAnsi="Times New Roman" w:cs="Times New Roman"/>
          <w:sz w:val="28"/>
          <w:szCs w:val="28"/>
          <w:lang w:val="uk-UA"/>
        </w:rPr>
        <w:t>кандидоз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ним стоматитом, які протікали як у першому гострому періоді, пер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оді рецидиву, так і в періоді ремісії гострого лімфобластного лейкозу, вст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новлено явище вираженої гіпосалівації до початку проведення лікувальних заходів, що значно погіршує її захисну та очищу</w:t>
      </w:r>
      <w:r w:rsidR="00C91100">
        <w:rPr>
          <w:rFonts w:ascii="Times New Roman" w:eastAsia="MS Mincho" w:hAnsi="Times New Roman" w:cs="Times New Roman"/>
          <w:sz w:val="28"/>
          <w:szCs w:val="28"/>
          <w:lang w:val="uk-UA"/>
        </w:rPr>
        <w:t>вальну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функції, і це призв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ло, у свою чергу, до створення </w:t>
      </w:r>
      <w:r w:rsidR="00C9110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патологічної ситуації </w:t>
      </w:r>
      <w:r w:rsidR="00B3087E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порожнині рота та збільшенн</w:t>
      </w:r>
      <w:r w:rsidR="00C91100">
        <w:rPr>
          <w:rFonts w:ascii="Times New Roman" w:eastAsia="MS Mincho" w:hAnsi="Times New Roman" w:cs="Times New Roman"/>
          <w:sz w:val="28"/>
          <w:szCs w:val="28"/>
          <w:lang w:val="uk-UA"/>
        </w:rPr>
        <w:t>я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ризику виникнення запалення, як у тканинах пародонту, так і СОПР</w:t>
      </w:r>
      <w:r w:rsidR="00966737" w:rsidRPr="003F432B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Однак, при порівнянні середні</w:t>
      </w:r>
      <w:r w:rsidR="00E37A2D">
        <w:rPr>
          <w:rFonts w:ascii="Times New Roman" w:eastAsia="MS Mincho" w:hAnsi="Times New Roman" w:cs="Times New Roman"/>
          <w:sz w:val="28"/>
          <w:szCs w:val="28"/>
          <w:lang w:val="uk-UA"/>
        </w:rPr>
        <w:t>х величин вихідних даних ротової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дини </w:t>
      </w:r>
      <w:r w:rsidR="00B3087E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B3087E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сіх обстежених дітей було встановлено, що найнижча швидкість слиноутворення, слиновиділення та найвищ</w:t>
      </w:r>
      <w:r w:rsidR="00A55CBF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показники її в</w:t>
      </w:r>
      <w:r w:rsidR="003F432B" w:rsidRPr="003F432B">
        <w:rPr>
          <w:rFonts w:ascii="Times New Roman" w:eastAsia="MS Mincho" w:hAnsi="Times New Roman" w:cs="Times New Roman"/>
          <w:sz w:val="28"/>
          <w:szCs w:val="28"/>
          <w:lang w:val="uk-UA"/>
        </w:rPr>
        <w:t>’</w:t>
      </w:r>
      <w:r w:rsidR="00C91100">
        <w:rPr>
          <w:rFonts w:ascii="Times New Roman" w:eastAsia="MS Mincho" w:hAnsi="Times New Roman" w:cs="Times New Roman"/>
          <w:sz w:val="28"/>
          <w:szCs w:val="28"/>
          <w:lang w:val="uk-UA"/>
        </w:rPr>
        <w:t>язкості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визначені у тих дітей, стоматологічні захворювання яких протікали </w:t>
      </w:r>
      <w:r w:rsidR="00C91100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першому гостр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му періоді та періоді рецидиву основного онкозахворювання крові</w:t>
      </w:r>
      <w:r w:rsidR="00966737" w:rsidRPr="003F432B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Однак, застосування розробленого нами лікувально-профілактичного комплексу, що включає </w:t>
      </w:r>
      <w:r w:rsidR="00C91100"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себе кверцетин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ий гель у вигляді аплікацій, а також гель, б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гатий</w:t>
      </w:r>
      <w:r w:rsidR="00C9110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поліфеноли, флавоноли в комбінації із сумішшю бісульфату алкал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їдів </w:t>
      </w:r>
      <w:r w:rsidR="000143CF">
        <w:rPr>
          <w:rFonts w:ascii="Times New Roman" w:eastAsia="MS Mincho" w:hAnsi="Times New Roman" w:cs="Times New Roman"/>
          <w:sz w:val="28"/>
          <w:szCs w:val="28"/>
          <w:lang w:val="uk-UA"/>
        </w:rPr>
        <w:t>сангвінарину та хелеритрину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, пробіотичний та протигрибковий препар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ти з використанням лізоцим</w:t>
      </w:r>
      <w:r w:rsidR="009703C4">
        <w:rPr>
          <w:rFonts w:ascii="Times New Roman" w:eastAsia="MS Mincho" w:hAnsi="Times New Roman" w:cs="Times New Roman"/>
          <w:sz w:val="28"/>
          <w:szCs w:val="28"/>
          <w:lang w:val="uk-UA"/>
        </w:rPr>
        <w:t>вмісн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ого ополіскувача, стимулює функціональну активність слинних залоз, що значно покращує протимікробну, захисну та очищу</w:t>
      </w:r>
      <w:r w:rsidR="00C91100">
        <w:rPr>
          <w:rFonts w:ascii="Times New Roman" w:eastAsia="MS Mincho" w:hAnsi="Times New Roman" w:cs="Times New Roman"/>
          <w:sz w:val="28"/>
          <w:szCs w:val="28"/>
          <w:lang w:val="uk-UA"/>
        </w:rPr>
        <w:t>вальну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функції ротової рідини</w:t>
      </w:r>
      <w:r w:rsidR="00966737" w:rsidRPr="003F432B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здійснює коригуючий вплив на біоц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е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ноз порожнини рота та дає можливість зменшити явища запалювального х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рактеру у СОПР, прискорити </w:t>
      </w:r>
      <w:r w:rsidR="00B3087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ранозагоювальні </w:t>
      </w:r>
      <w:r w:rsidR="00B3087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процеси </w:t>
      </w:r>
      <w:r w:rsidR="00B3087E">
        <w:rPr>
          <w:rFonts w:ascii="Times New Roman" w:eastAsia="MS Mincho" w:hAnsi="Times New Roman" w:cs="Times New Roman"/>
          <w:sz w:val="28"/>
          <w:szCs w:val="28"/>
          <w:lang w:val="uk-UA"/>
        </w:rPr>
        <w:t>в дітей з гострим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B3087E">
        <w:rPr>
          <w:rFonts w:ascii="Times New Roman" w:eastAsia="MS Mincho" w:hAnsi="Times New Roman" w:cs="Times New Roman"/>
          <w:sz w:val="28"/>
          <w:szCs w:val="28"/>
          <w:lang w:val="uk-UA"/>
        </w:rPr>
        <w:t>лимфобластним лейкозом.</w:t>
      </w:r>
    </w:p>
    <w:p w:rsidR="00966737" w:rsidRDefault="00C91100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результаті проведених клініко-лабораторних досліджень нами розр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блені та опроб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вані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клінічних умовах лікувально-профілактичні заходи, спрямовані на лікування та попередження виникнення запальних ускладнень 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тканин пародонту та </w:t>
      </w:r>
      <w:r w:rsidR="00797B32">
        <w:rPr>
          <w:rFonts w:ascii="Times New Roman" w:eastAsia="MS Mincho" w:hAnsi="Times New Roman" w:cs="Times New Roman"/>
          <w:sz w:val="28"/>
          <w:szCs w:val="28"/>
          <w:lang w:val="uk-UA"/>
        </w:rPr>
        <w:t>кандидоз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них, виразково-некротичних уражень СОПР у дітей з гострими формами лейкемії під час лікування основного онкогемат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3F432B">
        <w:rPr>
          <w:rFonts w:ascii="Times New Roman" w:eastAsia="MS Mincho" w:hAnsi="Times New Roman" w:cs="Times New Roman"/>
          <w:sz w:val="28"/>
          <w:szCs w:val="28"/>
          <w:lang w:val="uk-UA"/>
        </w:rPr>
        <w:t>логічного захворювання</w:t>
      </w:r>
      <w:r w:rsidR="00966737" w:rsidRPr="00C73B9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(схема 1).</w:t>
      </w:r>
    </w:p>
    <w:p w:rsidR="00F7666B" w:rsidRPr="00966737" w:rsidRDefault="00F7666B" w:rsidP="00F7666B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Проведені в рамках дисертаційної роботи клініко-лабораторні досл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дження дозволили об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ґ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рунтувати застосування розроблених лікувально-профілактичних комплексів, до складу яких входили два мукозальних гелі, що містять поліфеноли, флавоноли, кверцетин та антоціани, антисептик із сумішшю  бісульфату  алкалоїдів  сангвінарину  та  хелеритрину, кератопла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тичний, пробіотичний та протигрибковий препарати, а також лізоцимвмісний ополіскувач, </w:t>
      </w:r>
      <w:r w:rsidRPr="00D95E79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такі, що</w:t>
      </w:r>
      <w:r w:rsidRPr="00D95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корегую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r w:rsidRPr="00D95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біоценоз та підвищую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ть неспецифічну резистентність порожнини рота. Це створює умови для усунення явищ 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дидозу та попередження виникнення запалення в тканинах пародонту та уражень СОПР під час лікування гострого лімфобластного лейкозу. Розро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лені заходи можуть застосовуватися як профілактичні, на початку лікування основного онкогематологічного захворювання в дітей</w:t>
      </w:r>
      <w:r w:rsidRPr="00966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66B" w:rsidRPr="00F7666B" w:rsidRDefault="00F7666B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66737" w:rsidRPr="00C73B9E" w:rsidRDefault="00966737" w:rsidP="009667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966737" w:rsidRPr="00C73B9E" w:rsidRDefault="00966737" w:rsidP="0096673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  <w:sectPr w:rsidR="00966737" w:rsidRPr="00C73B9E" w:rsidSect="00684D83">
          <w:headerReference w:type="default" r:id="rId3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6737" w:rsidRPr="00C73B9E" w:rsidRDefault="00B05FD8" w:rsidP="0096673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pict>
          <v:group id="_x0000_s1078" style="position:absolute;left:0;text-align:left;margin-left:-26.7pt;margin-top:2.35pt;width:783.3pt;height:399.35pt;z-index:251708928" coordorigin="600,1748" coordsize="15666,7987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6" o:spid="_x0000_s1033" type="#_x0000_t202" style="position:absolute;left:2027;top:3487;width:2672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zLc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XzG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bMtwgAAANsAAAAPAAAAAAAAAAAAAAAAAJgCAABkcnMvZG93&#10;bnJldi54bWxQSwUGAAAAAAQABAD1AAAAhwMAAAAA&#10;" fillcolor="white [3201]" strokeweight=".5pt">
              <v:textbox style="mso-next-textbox:#Поле 76">
                <w:txbxContent>
                  <w:p w:rsidR="001752C0" w:rsidRPr="007263F8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7365D" w:themeColor="text2" w:themeShade="BF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color w:val="17365D" w:themeColor="text2" w:themeShade="BF"/>
                        <w:sz w:val="24"/>
                        <w:szCs w:val="24"/>
                        <w:lang w:val="uk-UA"/>
                      </w:rPr>
                      <w:t>Гігієна порожнини рота</w:t>
                    </w:r>
                  </w:p>
                </w:txbxContent>
              </v:textbox>
            </v:shape>
            <v:shape id="Поле 75" o:spid="_x0000_s1034" type="#_x0000_t202" style="position:absolute;left:6996;top:3487;width:3030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tW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y1awgAAANsAAAAPAAAAAAAAAAAAAAAAAJgCAABkcnMvZG93&#10;bnJldi54bWxQSwUGAAAAAAQABAD1AAAAhwMAAAAA&#10;" fillcolor="white [3201]" strokeweight=".5pt">
              <v:textbox style="mso-next-textbox:#Поле 75">
                <w:txbxContent>
                  <w:p w:rsidR="001752C0" w:rsidRPr="007263F8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7365D" w:themeColor="text2" w:themeShade="BF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color w:val="17365D" w:themeColor="text2" w:themeShade="BF"/>
                        <w:sz w:val="24"/>
                        <w:szCs w:val="24"/>
                        <w:lang w:val="uk-UA"/>
                      </w:rPr>
                      <w:t>Місцеві  лікарські</w:t>
                    </w:r>
                    <w:r>
                      <w:rPr>
                        <w:rFonts w:ascii="Times New Roman" w:hAnsi="Times New Roman" w:cs="Times New Roman"/>
                        <w:color w:val="17365D" w:themeColor="text2" w:themeShade="BF"/>
                        <w:sz w:val="24"/>
                        <w:szCs w:val="24"/>
                        <w:lang w:val="uk-UA"/>
                      </w:rPr>
                      <w:br/>
                      <w:t>засоби</w:t>
                    </w:r>
                    <w:r w:rsidRPr="007263F8">
                      <w:rPr>
                        <w:rFonts w:ascii="Times New Roman" w:hAnsi="Times New Roman" w:cs="Times New Roman"/>
                        <w:color w:val="17365D" w:themeColor="text2" w:themeShade="BF"/>
                        <w:sz w:val="24"/>
                        <w:szCs w:val="24"/>
                      </w:rPr>
                      <w:br/>
                    </w:r>
                  </w:p>
                </w:txbxContent>
              </v:textbox>
            </v:shape>
            <v:shape id="Поле 77" o:spid="_x0000_s1035" type="#_x0000_t202" style="position:absolute;left:10531;top:3500;width:3435;height: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<v:textbox style="mso-next-textbox:#Поле 77">
                <w:txbxContent>
                  <w:p w:rsidR="001752C0" w:rsidRPr="007263F8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7365D" w:themeColor="text2" w:themeShade="BF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color w:val="17365D" w:themeColor="text2" w:themeShade="BF"/>
                        <w:sz w:val="24"/>
                        <w:szCs w:val="24"/>
                        <w:lang w:val="uk-UA"/>
                      </w:rPr>
                      <w:t>Загальні лікарські</w:t>
                    </w:r>
                    <w:r>
                      <w:rPr>
                        <w:rFonts w:ascii="Times New Roman" w:hAnsi="Times New Roman" w:cs="Times New Roman"/>
                        <w:color w:val="17365D" w:themeColor="text2" w:themeShade="BF"/>
                        <w:sz w:val="24"/>
                        <w:szCs w:val="24"/>
                        <w:lang w:val="uk-UA"/>
                      </w:rPr>
                      <w:br/>
                      <w:t>засоби</w:t>
                    </w:r>
                  </w:p>
                </w:txbxContent>
              </v:textbox>
            </v:shape>
            <v:shape id="Поле 80" o:spid="_x0000_s1036" type="#_x0000_t202" style="position:absolute;left:3532;top:4790;width:4023;height:1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+5b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9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d/uW+AAAA2wAAAA8AAAAAAAAAAAAAAAAAmAIAAGRycy9kb3ducmV2&#10;LnhtbFBLBQYAAAAABAAEAPUAAACDAwAAAAA=&#10;" fillcolor="white [3201]" strokeweight=".5pt">
              <v:textbox style="mso-next-textbox:#Поле 80">
                <w:txbxContent>
                  <w:p w:rsidR="001752C0" w:rsidRPr="006C0E9A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Флавоноїдвмісний та антиоксида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тний муко</w:t>
                    </w:r>
                    <w:r w:rsidRPr="008558ED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зальн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і</w:t>
                    </w:r>
                    <w:r w:rsidRPr="008558ED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гел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і</w:t>
                    </w:r>
                    <w:r w:rsidRPr="008558E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+</w:t>
                    </w:r>
                    <w:r w:rsidRPr="006C0E9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uk-UA"/>
                      </w:rPr>
                      <w:t>а</w:t>
                    </w:r>
                    <w:r w:rsidRPr="006C0E9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uk-UA"/>
                      </w:rPr>
                      <w:t>нтисепти</w:t>
                    </w: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uk-UA"/>
                      </w:rPr>
                      <w:t>ч</w:t>
                    </w: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uk-UA"/>
                      </w:rPr>
                      <w:t>ний препарат</w:t>
                    </w:r>
                  </w:p>
                  <w:p w:rsidR="001752C0" w:rsidRPr="00BE2B49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</w:p>
                  <w:p w:rsidR="001752C0" w:rsidRPr="00BE2B49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</w:p>
                </w:txbxContent>
              </v:textbox>
            </v:shape>
            <v:shape id="Поле 82" o:spid="_x0000_s1037" type="#_x0000_t202" style="position:absolute;left:12378;top:4791;width:2243;height:1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<v:textbox style="mso-next-textbox:#Поле 82">
                <w:txbxContent>
                  <w:p w:rsidR="001752C0" w:rsidRPr="00A55CBF" w:rsidRDefault="001752C0" w:rsidP="00C963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uk-UA"/>
                      </w:rPr>
                    </w:pPr>
                    <w:r w:rsidRPr="006C0E9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uk-UA"/>
                      </w:rPr>
                      <w:t>Проб</w:t>
                    </w: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uk-UA"/>
                      </w:rPr>
                      <w:t>іотичний преперат</w:t>
                    </w:r>
                  </w:p>
                  <w:p w:rsidR="001752C0" w:rsidRPr="00BE2B49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</w:p>
                </w:txbxContent>
              </v:textbox>
            </v:shape>
            <v:shape id="Поле 86" o:spid="_x0000_s1038" type="#_x0000_t202" style="position:absolute;left:600;top:6461;width:2672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DCsEA&#10;AADb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6gX8P+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4wwrBAAAA2wAAAA8AAAAAAAAAAAAAAAAAmAIAAGRycy9kb3du&#10;cmV2LnhtbFBLBQYAAAAABAAEAPUAAACGAwAAAAA=&#10;" fillcolor="white [3201]" strokeweight=".5pt">
              <v:textbox style="mso-next-textbox:#Поле 86">
                <w:txbxContent>
                  <w:p w:rsidR="001752C0" w:rsidRPr="00BE2B49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Очищуюча дія</w:t>
                    </w:r>
                    <w:r w:rsidRPr="006C0E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гал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ь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мування росту умо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но-патогенної мікро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ф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лори</w:t>
                    </w:r>
                  </w:p>
                </w:txbxContent>
              </v:textbox>
            </v:shape>
            <v:shape id="Поле 85" o:spid="_x0000_s1039" type="#_x0000_t202" style="position:absolute;left:3407;top:6478;width:3825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<v:textbox style="mso-next-textbox:#Поле 85">
                <w:txbxContent>
                  <w:p w:rsidR="001752C0" w:rsidRPr="00BE2B49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Антиоксидантна, протизапальна, пробіотична дія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антимікробний захист</w:t>
                    </w:r>
                  </w:p>
                </w:txbxContent>
              </v:textbox>
            </v:shape>
            <v:shape id="Поле 87" o:spid="_x0000_s1040" type="#_x0000_t202" style="position:absolute;left:13262;top:6478;width:3004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mkcIA&#10;AADb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X1FK5fy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GaRwgAAANsAAAAPAAAAAAAAAAAAAAAAAJgCAABkcnMvZG93&#10;bnJldi54bWxQSwUGAAAAAAQABAD1AAAAhwMAAAAA&#10;" fillcolor="white [3201]" strokeweight=".5pt">
              <v:textbox style="mso-next-textbox:#Поле 87">
                <w:txbxContent>
                  <w:p w:rsidR="001752C0" w:rsidRPr="00BE2B49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Проб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і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отич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на дія, підв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щення імунітету</w:t>
                    </w:r>
                  </w:p>
                </w:txbxContent>
              </v:textbox>
            </v:shape>
            <v:shape id="Поле 88" o:spid="_x0000_s1041" type="#_x0000_t202" style="position:absolute;left:3059;top:8893;width:10474;height: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47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s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r8uO+AAAA2wAAAA8AAAAAAAAAAAAAAAAAmAIAAGRycy9kb3ducmV2&#10;LnhtbFBLBQYAAAAABAAEAPUAAACDAwAAAAA=&#10;" fillcolor="white [3201]" strokeweight=".5pt">
              <v:textbox style="mso-next-textbox:#Поле 88">
                <w:txbxContent>
                  <w:p w:rsidR="001752C0" w:rsidRPr="00B6053B" w:rsidRDefault="001752C0" w:rsidP="00966737">
                    <w:pPr>
                      <w:spacing w:after="0"/>
                      <w:jc w:val="center"/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  <w:lang w:val="uk-UA"/>
                      </w:rPr>
                      <w:t xml:space="preserve">Усунення явищ гіперемії, набряку та кровоточивості ясен та СОПР, кандидозного ураження </w:t>
                    </w:r>
                    <w:r w:rsidRPr="00B6053B">
                      <w:rPr>
                        <w:b/>
                        <w:color w:val="0070C0"/>
                      </w:rPr>
                      <w:t>СОПР на фон</w:t>
                    </w:r>
                    <w:r>
                      <w:rPr>
                        <w:b/>
                        <w:color w:val="0070C0"/>
                        <w:lang w:val="uk-UA"/>
                      </w:rPr>
                      <w:t>і</w:t>
                    </w:r>
                    <w:r w:rsidRPr="00B6053B">
                      <w:rPr>
                        <w:b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lang w:val="uk-UA"/>
                      </w:rPr>
                      <w:t>відновлення нормобіозу та підвищення місцевого імунітету у порожнині рота</w:t>
                    </w:r>
                  </w:p>
                </w:txbxContent>
              </v:textbox>
            </v:shape>
            <v:shape id="Поле 81" o:spid="_x0000_s1042" type="#_x0000_t202" style="position:absolute;left:735;top:4774;width:2672;height:1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<v:textbox style="mso-next-textbox:#Поле 81">
                <w:txbxContent>
                  <w:p w:rsidR="001752C0" w:rsidRPr="00A55CBF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BE2B49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Зубна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паста + прот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запальний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br/>
                      <w:t xml:space="preserve">зубний еліксир </w:t>
                    </w:r>
                  </w:p>
                </w:txbxContent>
              </v:textbox>
            </v:shape>
            <v:shape id="Поле 79" o:spid="_x0000_s1043" type="#_x0000_t202" style="position:absolute;left:9761;top:4790;width:2402;height:1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<v:textbox style="mso-next-textbox:#Поле 79">
                <w:txbxContent>
                  <w:p w:rsidR="001752C0" w:rsidRPr="00A55CBF" w:rsidRDefault="001752C0" w:rsidP="00C963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uk-UA"/>
                      </w:rPr>
                      <w:t>Антимікотичний препарат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3" o:spid="_x0000_s1044" type="#_x0000_t32" style="position:absolute;left:9903;top:4251;width:0;height:557;visibility:visible" o:connectortype="straight" adj="-406970,-1,-406970" strokecolor="black [3040]">
              <v:stroke endarrow="classic"/>
            </v:shape>
            <v:shape id="Прямая со стрелкой 78" o:spid="_x0000_s1045" type="#_x0000_t32" style="position:absolute;left:10666;top:5837;width:0;height:6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XiUsEAAADbAAAADwAAAGRycy9kb3ducmV2LnhtbERPy4rCMBTdD/gP4QpuZExVUKlG0WEE&#10;XYkPmJndpbm2xeSmNLHWvzcLYZaH816sWmtEQ7UvHSsYDhIQxJnTJecKLuft5wyED8gajWNS8CQP&#10;q2XnY4Gpdg8+UnMKuYgh7FNUUIRQpVL6rCCLfuAq4shdXW0xRFjnUtf4iOHWyFGSTKTFkmNDgRV9&#10;FZTdTnerYH8o17/jcfLTGOM2z79zNfzu75Xqddv1HESgNvyL3+6dVjCNY+OX+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JeJSwQAAANsAAAAPAAAAAAAAAAAAAAAA&#10;AKECAABkcnMvZG93bnJldi54bWxQSwUGAAAAAAQABAD5AAAAjwMAAAAA&#10;" strokecolor="black [3040]">
              <v:stroke endarrow="classic"/>
            </v:shape>
            <v:shape id="Поле 84" o:spid="_x0000_s1046" type="#_x0000_t202" style="position:absolute;left:10161;top:6461;width:3004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<v:textbox style="mso-next-textbox:#Поле 84">
                <w:txbxContent>
                  <w:p w:rsidR="001752C0" w:rsidRPr="00BE2B49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Антигрибкова дія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пор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шення продукції ергост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рону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Поле 60" o:spid="_x0000_s1047" type="#_x0000_t202" style="position:absolute;left:1755;top:1748;width:12960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4b8AA&#10;AADbAAAADwAAAGRycy9kb3ducmV2LnhtbERPTWsCMRC9F/wPYYTeNKsULatRVCpaPLlWz8Nm3A1u&#10;JmuS6vbfN4dCj4/3PV92thEP8sE4VjAaZiCIS6cNVwq+TtvBO4gQkTU2jknBDwVYLnovc8y1e/KR&#10;HkWsRArhkKOCOsY2lzKUNVkMQ9cSJ+7qvMWYoK+k9vhM4baR4yybSIuGU0ONLW1qKm/Ft1VwP/vT&#10;28h8XLbNZ2Hu09thvcOpUq/9bjUDEamL/+I/914rmKT16Uv6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o4b8AAAADbAAAADwAAAAAAAAAAAAAAAACYAgAAZHJzL2Rvd25y&#10;ZXYueG1sUEsFBgAAAAAEAAQA9QAAAIUDAAAAAA==&#10;" fillcolor="white [3201]" strokeweight=".5pt">
              <v:textbox style="mso-next-textbox:#Поле 60">
                <w:txbxContent>
                  <w:p w:rsidR="001752C0" w:rsidRPr="00B6053B" w:rsidRDefault="001752C0" w:rsidP="009667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70C0"/>
                        <w:sz w:val="28"/>
                        <w:szCs w:val="28"/>
                        <w:lang w:val="uk-UA"/>
                      </w:rPr>
                    </w:pPr>
                    <w:r w:rsidRPr="00B6053B">
                      <w:rPr>
                        <w:rFonts w:ascii="Times New Roman" w:hAnsi="Times New Roman" w:cs="Times New Roman"/>
                        <w:b/>
                        <w:color w:val="0070C0"/>
                        <w:sz w:val="28"/>
                        <w:szCs w:val="28"/>
                        <w:lang w:val="uk-UA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b/>
                        <w:color w:val="0070C0"/>
                        <w:sz w:val="28"/>
                        <w:szCs w:val="28"/>
                        <w:lang w:val="uk-UA"/>
                      </w:rPr>
                      <w:t>ІКУВАЛЬНО-ПРОФІЛАКТИЧНІ ЗАХОДИ В ДІТЕЙ З ГЛЛ</w:t>
                    </w:r>
                  </w:p>
                </w:txbxContent>
              </v:textbox>
            </v:shape>
            <v:shape id="Прямая со стрелкой 63" o:spid="_x0000_s1048" type="#_x0000_t32" style="position:absolute;left:2896;top:2305;width:3287;height:116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wkcMAAADbAAAADwAAAGRycy9kb3ducmV2LnhtbESP0WrCQBRE3wv9h+UWfKsbtYQ2uooI&#10;gmARGvMB1+w1Wc3eDdlV49+7gtDHYWbOMLNFbxtxpc4bxwpGwwQEcem04UpBsV9/foPwAVlj45gU&#10;3MnDYv7+NsNMuxv/0TUPlYgQ9hkqqENoMyl9WZNFP3QtcfSOrrMYouwqqTu8Rbht5DhJUmnRcFyo&#10;saVVTeU5v1gFq/GX+f3ZrdGkmyJsD7v8hMVdqcFHv5yCCNSH//CrvdEK0g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XMJHDAAAA2wAAAA8AAAAAAAAAAAAA&#10;AAAAoQIAAGRycy9kb3ducmV2LnhtbFBLBQYAAAAABAAEAPkAAACRAwAAAAA=&#10;" strokecolor="black [3040]">
              <v:stroke endarrow="classic"/>
            </v:shape>
            <v:shape id="Прямая со стрелкой 64" o:spid="_x0000_s1049" type="#_x0000_t32" style="position:absolute;left:10490;top:2305;width:1888;height:11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+isQAAADbAAAADwAAAGRycy9kb3ducmV2LnhtbESPQWsCMRSE7wX/Q3iCl6JZtYisRtHS&#10;gp6kKqi3x+a5u5i8LJt0Xf+9EQo9DjPzDTNfttaIhmpfOlYwHCQgiDOnS84VHA/f/SkIH5A1Gsek&#10;4EEelovO2xxT7e78Q80+5CJC2KeooAihSqX0WUEW/cBVxNG7utpiiLLOpa7xHuHWyFGSTKTFkuNC&#10;gRV9FpTd9r9WwXZXrs7jcXJqjHHrx+VQDb/et0r1uu1qBiJQG/7Df+2NVjD5gNe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X6KxAAAANsAAAAPAAAAAAAAAAAA&#10;AAAAAKECAABkcnMvZG93bnJldi54bWxQSwUGAAAAAAQABAD5AAAAkgMAAAAA&#10;" strokecolor="black [3040]">
              <v:stroke endarrow="classic"/>
            </v:shape>
            <v:shape id="Прямая со стрелкой 65" o:spid="_x0000_s1050" type="#_x0000_t32" style="position:absolute;left:3059;top:4251;width: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3bEcQAAADbAAAADwAAAGRycy9kb3ducmV2LnhtbESPQWsCMRSE7wX/Q3iCl6JZlYqsRtHS&#10;gp6kKqi3x+a5u5i8LJt0Xf+9EQo9DjPzDTNfttaIhmpfOlYwHCQgiDOnS84VHA/f/SkIH5A1Gsek&#10;4EEelovO2xxT7e78Q80+5CJC2KeooAihSqX0WUEW/cBVxNG7utpiiLLOpa7xHuHWyFGSTKTFkuNC&#10;gRV9FpTd9r9WwXZXrs7jcXJqjHHrx+VQDb/et0r1uu1qBiJQG/7Df+2NVjD5gNe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/dsRxAAAANsAAAAPAAAAAAAAAAAA&#10;AAAAAKECAABkcnMvZG93bnJldi54bWxQSwUGAAAAAAQABAD5AAAAkgMAAAAA&#10;" strokecolor="black [3040]">
              <v:stroke endarrow="classic"/>
            </v:shape>
            <v:shape id="Прямая со стрелкой 66" o:spid="_x0000_s1051" type="#_x0000_t32" style="position:absolute;left:13261;top:4220;width:1;height:5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9FZsUAAADbAAAADwAAAGRycy9kb3ducmV2LnhtbESPQWvCQBSE70L/w/IKvUjdWCGU1E2w&#10;pYKeRFNoe3tkX5PQ3bchu8b4711B8DjMzDfMshitEQP1vnWsYD5LQBBXTrdcK/gq18+vIHxA1mgc&#10;k4IzeSjyh8kSM+1OvKfhEGoRIewzVNCE0GVS+qohi37mOuLo/bneYoiyr6Xu8RTh1siXJEmlxZbj&#10;QoMdfTRU/R+OVsF2165+FovkezDGvZ9/y27+Od0q9fQ4rt5ABBrDPXxrb7SCNIXrl/gD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9FZsUAAADbAAAADwAAAAAAAAAA&#10;AAAAAAChAgAAZHJzL2Rvd25yZXYueG1sUEsFBgAAAAAEAAQA+QAAAJMDAAAAAA==&#10;" strokecolor="black [3040]">
              <v:stroke endarrow="classic"/>
            </v:shape>
            <v:shape id="Прямая со стрелкой 67" o:spid="_x0000_s1052" type="#_x0000_t32" style="position:absolute;left:7216;top:4220;width:1;height: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Pg/cQAAADbAAAADwAAAGRycy9kb3ducmV2LnhtbESPQWsCMRSE7wX/Q3iCl6JZFaysRtHS&#10;gp6kKqi3x+a5u5i8LJt0Xf+9EQo9DjPzDTNfttaIhmpfOlYwHCQgiDOnS84VHA/f/SkIH5A1Gsek&#10;4EEelovO2xxT7e78Q80+5CJC2KeooAihSqX0WUEW/cBVxNG7utpiiLLOpa7xHuHWyFGSTKTFkuNC&#10;gRV9FpTd9r9WwXZXrs7jcXJqjHHrx+VQDb/et0r1uu1qBiJQG/7Df+2NVjD5gNe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Y+D9xAAAANsAAAAPAAAAAAAAAAAA&#10;AAAAAKECAABkcnMvZG93bnJldi54bWxQSwUGAAAAAAQABAD5AAAAkgMAAAAA&#10;" strokecolor="black [3040]">
              <v:stroke endarrow="classic"/>
            </v:shape>
            <v:shape id="Прямая со стрелкой 68" o:spid="_x0000_s1053" type="#_x0000_t32" style="position:absolute;left:3059;top:5864;width:0;height:5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0j8EAAADbAAAADwAAAGRycy9kb3ducmV2LnhtbERPy4rCMBTdC/5DuMJsRFNHEKlGUVEY&#10;V4MPUHeX5toWk5vSxFr/frIYcHk47/mytUY0VPvSsYLRMAFBnDldcq7gfNoNpiB8QNZoHJOCN3lY&#10;LrqdOabavfhAzTHkIoawT1FBEUKVSumzgiz6oauII3d3tcUQYZ1LXeMrhlsjv5NkIi2WHBsKrGhT&#10;UPY4Pq2C/W+5uo7HyaUxxq3ft1M12vb3Sn312tUMRKA2fMT/7h+tYBLHxi/xB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/HSPwQAAANsAAAAPAAAAAAAAAAAAAAAA&#10;AKECAABkcnMvZG93bnJldi54bWxQSwUGAAAAAAQABAD5AAAAjwMAAAAA&#10;" strokecolor="black [3040]">
              <v:stroke endarrow="classic"/>
            </v:shape>
            <v:shape id="Прямая со стрелкой 69" o:spid="_x0000_s1054" type="#_x0000_t32" style="position:absolute;left:13748;top:5823;width:0;height:6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DRFMQAAADbAAAADwAAAGRycy9kb3ducmV2LnhtbESPQWsCMRSE7wX/Q3iCl6JZFaSuRtHS&#10;gp6kKqi3x+a5u5i8LJt0Xf+9EQo9DjPzDTNfttaIhmpfOlYwHCQgiDOnS84VHA/f/Q8QPiBrNI5J&#10;wYM8LBedtzmm2t35h5p9yEWEsE9RQRFClUrps4Is+oGriKN3dbXFEGWdS13jPcKtkaMkmUiLJceF&#10;Aiv6LCi77X+tgu2uXJ3H4+TUGOPWj8uhGn69b5XqddvVDESgNvyH/9obrWAyhde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NEUxAAAANsAAAAPAAAAAAAAAAAA&#10;AAAAAKECAABkcnMvZG93bnJldi54bWxQSwUGAAAAAAQABAD5AAAAkgMAAAAA&#10;" strokecolor="black [3040]">
              <v:stroke endarrow="classic"/>
            </v:shape>
            <v:shape id="Прямая со стрелкой 70" o:spid="_x0000_s1055" type="#_x0000_t32" style="position:absolute;left:6575;top:5823;width:1;height:6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uVMEAAADbAAAADwAAAGRycy9kb3ducmV2LnhtbERPy4rCMBTdD/gP4QpuZExVUKlG0WEE&#10;XYkPmJndpbm2xeSmNLHWvzcLYZaH816sWmtEQ7UvHSsYDhIQxJnTJecKLuft5wyED8gajWNS8CQP&#10;q2XnY4Gpdg8+UnMKuYgh7FNUUIRQpVL6rCCLfuAq4shdXW0xRFjnUtf4iOHWyFGSTKTFkmNDgRV9&#10;FZTdTnerYH8o17/jcfLTGOM2z79zNfzu75Xqddv1HESgNvyL3+6dVjCN6+OX+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U+5UwQAAANsAAAAPAAAAAAAAAAAAAAAA&#10;AKECAABkcnMvZG93bnJldi54bWxQSwUGAAAAAAQABAD5AAAAjwMAAAAA&#10;" strokecolor="black [3040]">
              <v:stroke endarrow="classic"/>
            </v:shape>
            <v:line id="Прямая соединительная линия 71" o:spid="_x0000_s1056" style="position:absolute;visibility:visible" from="3059,7738" to="3059,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<v:line id="Прямая соединительная линия 72" o:spid="_x0000_s1057" style="position:absolute;visibility:visible" from="13533,7738" to="13533,8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<v:line id="Прямая соединительная линия 73" o:spid="_x0000_s1058" style="position:absolute;visibility:visible" from="3059,8309" to="13543,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+78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v7vxAAAANsAAAAPAAAAAAAAAAAA&#10;AAAAAKECAABkcnMvZG93bnJldi54bWxQSwUGAAAAAAQABAD5AAAAkgMAAAAA&#10;" strokecolor="black [3213]"/>
            <v:shape id="Прямая со стрелкой 74" o:spid="_x0000_s1059" type="#_x0000_t32" style="position:absolute;left:8642;top:8309;width:0;height:5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oV8UAAADbAAAADwAAAGRycy9kb3ducmV2LnhtbESPQWsCMRSE74L/ITzBS6lZq6hsjaKl&#10;hXoStaDeHpvX3cXkZdnEdf33jVDwOMzMN8x82VojGqp96VjBcJCAIM6cLjlX8HP4ep2B8AFZo3FM&#10;Cu7kYbnoduaYanfjHTX7kIsIYZ+igiKEKpXSZwVZ9ANXEUfv19UWQ5R1LnWNtwi3Rr4lyURaLDku&#10;FFjRR0HZZX+1CjbbcnUajZJjY4xb38+Havj5slGq32tX7yACteEZ/m9/awXTMTy+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joV8UAAADbAAAADwAAAAAAAAAA&#10;AAAAAAChAgAAZHJzL2Rvd25yZXYueG1sUEsFBgAAAAAEAAQA+QAAAJMDAAAAAA==&#10;" strokecolor="black [3040]">
              <v:stroke endarrow="classic"/>
            </v:shape>
            <v:shape id="Прямая со стрелкой 89" o:spid="_x0000_s1060" type="#_x0000_t32" style="position:absolute;left:8491;top:2333;width:0;height:11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37sQAAADbAAAADwAAAGRycy9kb3ducmV2LnhtbESPQWsCMRSE7wX/Q3iCl6JZFYquRtHS&#10;gp6kKqi3x+a5u5i8LJt0Xf+9EQo9DjPzDTNfttaIhmpfOlYwHCQgiDOnS84VHA/f/QkIH5A1Gsek&#10;4EEelovO2xxT7e78Q80+5CJC2KeooAihSqX0WUEW/cBVxNG7utpiiLLOpa7xHuHWyFGSfEiLJceF&#10;Aiv6LCi77X+tgu2uXJ3H4+TUGOPWj8uhGn69b5XqddvVDESgNvyH/9obrWAyhde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DfuxAAAANsAAAAPAAAAAAAAAAAA&#10;AAAAAKECAABkcnMvZG93bnJldi54bWxQSwUGAAAAAAQABAD5AAAAkgMAAAAA&#10;" strokecolor="black [3040]">
              <v:stroke endarrow="classic"/>
            </v:shape>
            <v:line id="Прямая соединительная линия 90" o:spid="_x0000_s1061" style="position:absolute;visibility:visible" from="10517,7738" to="10517,8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<v:line id="Прямая соединительная линия 91" o:spid="_x0000_s1062" style="position:absolute;visibility:visible" from="6836,7738" to="6836,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</v:group>
        </w:pict>
      </w:r>
    </w:p>
    <w:p w:rsidR="00966737" w:rsidRPr="00C73B9E" w:rsidRDefault="00966737" w:rsidP="00966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83E5C" w:rsidRDefault="00B05FD8" w:rsidP="00966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line id="_x0000_s1073" style="position:absolute;left:0;text-align:left;z-index:251761664;visibility:visible" from="375.4pt,244.7pt" to="375.4pt,282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71" type="#_x0000_t202" style="position:absolute;left:0;text-align:left;margin-left:318.35pt;margin-top:191.55pt;width:120.1pt;height:53.15pt;z-index:251759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<v:textbox style="mso-next-textbox:#_x0000_s1071">
              <w:txbxContent>
                <w:p w:rsidR="001752C0" w:rsidRPr="00C218C3" w:rsidRDefault="001752C0" w:rsidP="009843C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Антиоксидантна, 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ізуюча дія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72" type="#_x0000_t32" style="position:absolute;left:0;text-align:left;margin-left:371.9pt;margin-top:159.85pt;width:0;height:31.7pt;z-index:2517606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XiUsEAAADbAAAADwAAAGRycy9kb3ducmV2LnhtbERPy4rCMBTdD/gP4QpuZExVUKlG0WEE&#10;XYkPmJndpbm2xeSmNLHWvzcLYZaH816sWmtEQ7UvHSsYDhIQxJnTJecKLuft5wyED8gajWNS8CQP&#10;q2XnY4Gpdg8+UnMKuYgh7FNUUIRQpVL6rCCLfuAq4shdXW0xRFjnUtf4iOHWyFGSTKTFkmNDgRV9&#10;FZTdTnerYH8o17/jcfLTGOM2z79zNfzu75Xqddv1HESgNvyL3+6dVjCNY+OX+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JeJSwQAAANsAAAAPAAAAAAAAAAAAAAAA&#10;AKECAABkcnMvZG93bnJldi54bWxQSwUGAAAAAAQABAD5AAAAjwMAAAAA&#10;" strokecolor="black [3040]">
            <v:stroke endarrow="classic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70" type="#_x0000_t32" style="position:absolute;left:0;text-align:left;margin-left:367.85pt;margin-top:77.65pt;width:0;height:31.7pt;z-index:2517585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XiUsEAAADbAAAADwAAAGRycy9kb3ducmV2LnhtbERPy4rCMBTdD/gP4QpuZExVUKlG0WEE&#10;XYkPmJndpbm2xeSmNLHWvzcLYZaH816sWmtEQ7UvHSsYDhIQxJnTJecKLuft5wyED8gajWNS8CQP&#10;q2XnY4Gpdg8+UnMKuYgh7FNUUIRQpVL6rCCLfuAq4shdXW0xRFjnUtf4iOHWyFGSTKTFkmNDgRV9&#10;FZTdTnerYH8o17/jcfLTGOM2z79zNfzu75Xqddv1HESgNvyL3+6dVjCNY+OX+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JeJSwQAAANsAAAAPAAAAAAAAAAAAAAAA&#10;AKECAABkcnMvZG93bnJldi54bWxQSwUGAAAAAAQABAD5AAAAjwMAAAAA&#10;" strokecolor="black [3040]">
            <v:stroke endarrow="classic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69" type="#_x0000_t202" style="position:absolute;left:0;text-align:left;margin-left:328.2pt;margin-top:111.15pt;width:97.35pt;height:46.65pt;z-index:251757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<v:textbox style="mso-next-textbox:#_x0000_s1069">
              <w:txbxContent>
                <w:p w:rsidR="001752C0" w:rsidRPr="00AA16BC" w:rsidRDefault="001752C0" w:rsidP="009843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Кератопласт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чний препарат</w:t>
                  </w:r>
                </w:p>
                <w:p w:rsidR="001752C0" w:rsidRPr="00BE2B49" w:rsidRDefault="001752C0" w:rsidP="009843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Pr="00583E5C" w:rsidRDefault="00583E5C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E5C" w:rsidRDefault="00583E5C" w:rsidP="00583E5C">
      <w:pPr>
        <w:tabs>
          <w:tab w:val="left" w:pos="591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Рис.1. Лікувально – профілактичні заходи в дітей з ГЛЛ.</w:t>
      </w:r>
    </w:p>
    <w:p w:rsidR="00966737" w:rsidRPr="00583E5C" w:rsidRDefault="00966737" w:rsidP="00583E5C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966737" w:rsidRPr="00583E5C" w:rsidSect="00DC17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6737" w:rsidRPr="009B228D" w:rsidRDefault="00966737" w:rsidP="009B22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43B6" w:rsidRDefault="00FB5685" w:rsidP="000B67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B674F" w:rsidRPr="000B674F" w:rsidRDefault="000B674F" w:rsidP="000B67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E06" w:rsidRDefault="00827333" w:rsidP="005F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E4E1E" w:rsidRPr="008213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4E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35C4" w:rsidRPr="00821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Специфічне лікування онкогематологічних захворювань є провідним фактором ризику виникнення генералізованого хронічного катарального гі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гівіту, ерозивно-виразкового і кандидозного стоматиту в дітей. Незважаючи на різні методи профілактики й лікування ускладнень у тканинах пародонта і СОПР, які виникають у різні періоди перебігу та лікування гострого лімфо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ластного лейкозу в дитячому віці, недостатня увага приділяється спільному застосуванню місцевих засобів і препаратів загальної дії. У дисертаційній р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боті наведено теоретичне узагальнення та нове рішення актуального наук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вого завдання стоматології, що полягає в підвищенні  ефективності профіл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ктики й лікування уражень слизової оболонки порожнини рота в дітей з гос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F0E06" w:rsidRPr="005F0E06">
        <w:rPr>
          <w:rFonts w:ascii="Times New Roman" w:hAnsi="Times New Roman" w:cs="Times New Roman"/>
          <w:sz w:val="28"/>
          <w:szCs w:val="28"/>
          <w:lang w:val="uk-UA"/>
        </w:rPr>
        <w:t xml:space="preserve">рим лімфобластним лейкозом шляхом вивчення ролі порушень місцевого імунітету, біоценозу порожнини рота і розробки лікувально-профілактичних комплексів для їх диференційної корекції в різні періоди перебігу гострого лімфобластного лейкозу. </w:t>
      </w:r>
    </w:p>
    <w:p w:rsidR="00E835C4" w:rsidRDefault="005F0E06" w:rsidP="005F0E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835C4" w:rsidRPr="00693A2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B5685">
        <w:rPr>
          <w:rFonts w:ascii="Times New Roman" w:hAnsi="Times New Roman" w:cs="Times New Roman"/>
          <w:sz w:val="28"/>
          <w:szCs w:val="28"/>
          <w:lang w:val="uk-UA"/>
        </w:rPr>
        <w:t>Доповнен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B5685">
        <w:rPr>
          <w:rFonts w:ascii="Times New Roman" w:hAnsi="Times New Roman" w:cs="Times New Roman"/>
          <w:sz w:val="28"/>
          <w:szCs w:val="28"/>
          <w:lang w:val="uk-UA"/>
        </w:rPr>
        <w:t xml:space="preserve"> дані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B5685">
        <w:rPr>
          <w:rFonts w:ascii="Times New Roman" w:hAnsi="Times New Roman" w:cs="Times New Roman"/>
          <w:sz w:val="28"/>
          <w:szCs w:val="28"/>
          <w:lang w:val="uk-UA"/>
        </w:rPr>
        <w:t xml:space="preserve"> клінічни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FB5685">
        <w:rPr>
          <w:rFonts w:ascii="Times New Roman" w:hAnsi="Times New Roman" w:cs="Times New Roman"/>
          <w:sz w:val="28"/>
          <w:szCs w:val="28"/>
          <w:lang w:val="uk-UA"/>
        </w:rPr>
        <w:t xml:space="preserve"> прояв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FB5685">
        <w:rPr>
          <w:rFonts w:ascii="Times New Roman" w:hAnsi="Times New Roman" w:cs="Times New Roman"/>
          <w:sz w:val="28"/>
          <w:szCs w:val="28"/>
          <w:lang w:val="uk-UA"/>
        </w:rPr>
        <w:t xml:space="preserve"> уражень слизової оболонки порожнини рота </w:t>
      </w:r>
      <w:r w:rsidR="007E39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5685">
        <w:rPr>
          <w:rFonts w:ascii="Times New Roman" w:hAnsi="Times New Roman" w:cs="Times New Roman"/>
          <w:sz w:val="28"/>
          <w:szCs w:val="28"/>
          <w:lang w:val="uk-UA"/>
        </w:rPr>
        <w:t xml:space="preserve"> дітей з гострим ліфобластним лейкозом,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FB5685">
        <w:rPr>
          <w:rFonts w:ascii="Times New Roman" w:hAnsi="Times New Roman" w:cs="Times New Roman"/>
          <w:sz w:val="28"/>
          <w:szCs w:val="28"/>
          <w:lang w:val="uk-UA"/>
        </w:rPr>
        <w:t xml:space="preserve"> проявляються у вигляді </w:t>
      </w:r>
      <w:r w:rsidR="00E835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ГХКГ (89,9%) </w:t>
      </w:r>
      <w:r w:rsidR="007E39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період ремісії, ерозивно-виразкового</w:t>
      </w:r>
      <w:r w:rsidR="00693A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E835C4" w:rsidRPr="003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693A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E835C4" w:rsidRPr="003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93A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E835C4" w:rsidRPr="003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%), 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зково-некротичного</w:t>
      </w:r>
      <w:r w:rsidR="00E835C4" w:rsidRPr="003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(11,9%) </w:t>
      </w:r>
      <w:r w:rsidR="00693A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7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кандидоз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 ураження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835C4" w:rsidRPr="003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93A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85</w:t>
      </w:r>
      <w:r w:rsidR="00E835C4" w:rsidRPr="003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93A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E835C4" w:rsidRPr="003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% ) 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перший го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трий період </w:t>
      </w:r>
      <w:r w:rsidR="00693A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період рецидиву</w:t>
      </w:r>
      <w:r w:rsidR="00E835C4" w:rsidRPr="003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E835C4" w:rsidRDefault="00E835C4" w:rsidP="00E835C4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Встановлено високий вміст маркер</w:t>
      </w:r>
      <w:r w:rsidR="007E39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запалення 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МДА (9,98</w:t>
      </w:r>
      <w:r w:rsidRPr="00AC05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±0,52</w:t>
      </w:r>
      <w:r w:rsidR="00F67E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1E11"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нмоль/л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ПРМ 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10,67</w:t>
      </w:r>
      <w:r w:rsidRPr="00AC05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±0,55</w:t>
      </w:r>
      <w:r w:rsidR="00F67E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нмоль/л</w:t>
      </w:r>
      <w:r w:rsidR="00096446"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маркер</w:t>
      </w:r>
      <w:r w:rsidR="007E39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</w:t>
      </w:r>
      <w:r w:rsidR="007E39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мікро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 обсіменіння в порожнині рота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уреази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(29,71</w:t>
      </w:r>
      <w:r w:rsidRPr="00260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±1,51</w:t>
      </w:r>
      <w:r w:rsidR="00F67E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53BE" w:rsidRPr="00B413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мкмоль </w:t>
      </w:r>
      <w:r w:rsidR="000253BE" w:rsidRPr="00966737">
        <w:rPr>
          <w:rFonts w:ascii="Times New Roman" w:eastAsia="Times New Roman" w:hAnsi="Times New Roman" w:cs="Times New Roman"/>
          <w:sz w:val="28"/>
          <w:szCs w:val="28"/>
        </w:rPr>
        <w:t>NH</w:t>
      </w:r>
      <w:r w:rsidR="000253BE" w:rsidRPr="00B4139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0253BE" w:rsidRPr="00B413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r w:rsidR="00E30B13">
        <w:rPr>
          <w:rFonts w:ascii="Times New Roman" w:eastAsia="Times New Roman" w:hAnsi="Times New Roman" w:cs="Times New Roman"/>
          <w:sz w:val="28"/>
          <w:szCs w:val="28"/>
          <w:lang w:val="uk-UA"/>
        </w:rPr>
        <w:t>хв-</w:t>
      </w:r>
      <w:r w:rsidR="000253BE" w:rsidRPr="00B4139B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E30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34C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30,42</w:t>
      </w:r>
      <w:r w:rsidRPr="00260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±1,53</w:t>
      </w:r>
      <w:r w:rsidR="00F67E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53BE" w:rsidRPr="00B413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мкмоль </w:t>
      </w:r>
      <w:r w:rsidR="000253BE" w:rsidRPr="00966737">
        <w:rPr>
          <w:rFonts w:ascii="Times New Roman" w:eastAsia="Times New Roman" w:hAnsi="Times New Roman" w:cs="Times New Roman"/>
          <w:sz w:val="28"/>
          <w:szCs w:val="28"/>
        </w:rPr>
        <w:t>NH</w:t>
      </w:r>
      <w:r w:rsidR="000253BE" w:rsidRPr="00B4139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0253BE" w:rsidRPr="00B413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r w:rsidR="00E30B13">
        <w:rPr>
          <w:rFonts w:ascii="Times New Roman" w:eastAsia="Times New Roman" w:hAnsi="Times New Roman" w:cs="Times New Roman"/>
          <w:sz w:val="28"/>
          <w:szCs w:val="28"/>
          <w:lang w:val="uk-UA"/>
        </w:rPr>
        <w:t>хв-</w:t>
      </w:r>
      <w:r w:rsidR="000253BE" w:rsidRPr="00B4139B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0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964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ПРМ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низький рівень маркер</w:t>
      </w:r>
      <w:r w:rsidR="007E39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АОС 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каталази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(0,11</w:t>
      </w:r>
      <w:r w:rsidRPr="00260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±0,006</w:t>
      </w:r>
      <w:r w:rsidR="00311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1E11" w:rsidRPr="00D95E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мкат/л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311E11" w:rsidRPr="00D95E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="00B4139B" w:rsidRPr="00D95E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311E11" w:rsidRPr="00D95E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311E11" w:rsidRPr="00D95E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311E11" w:rsidRPr="00D95E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5E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0,16±0,008 мкат/л</w:t>
      </w:r>
      <w:r w:rsidR="00311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311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ПРМ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рот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вій рідині дітей з гострим лімфобластним лейкозом, що створює умови для виникнення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розвитку ГХКГ, ерозивно-виразкового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7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кандидоз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 стом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титу</w:t>
      </w:r>
      <w:r w:rsidRPr="000573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835C4" w:rsidRPr="00B4139B" w:rsidRDefault="00E835C4" w:rsidP="00E835C4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 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ступінь дисбіозу (достовірн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кількісн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переваг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умовно-патогенних 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патогенних мікроорганізмів над сапрофітною мікро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лорою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зниження рівня неспецифічної резистентності (лізоцим </w:t>
      </w:r>
      <w:r w:rsidR="00F67E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9,81±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0,51</w:t>
      </w:r>
      <w:r w:rsidRPr="00260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60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д/л</w:t>
      </w:r>
      <w:r w:rsidR="000573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573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0573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573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</w:t>
      </w:r>
      <w:r w:rsidR="00AE7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AE7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13,53</w:t>
      </w:r>
      <w:r w:rsidR="00F67E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±</w:t>
      </w:r>
      <w:r w:rsidR="00AE7E85"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0,75 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AE7E85" w:rsidRPr="00260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д/л</w:t>
      </w:r>
      <w:r w:rsidR="00AE7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E7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дефензини </w:t>
      </w:r>
      <w:r w:rsidRPr="006460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1,12 ± 0,059± 0,061 мк/мл</w:t>
      </w:r>
      <w:r w:rsidR="00AE7E85"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E7E85"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7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AE7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AE7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7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1,93 </w:t>
      </w:r>
      <w:r w:rsidR="00AE7E85"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± 0, 101</w:t>
      </w:r>
      <w:r w:rsidR="00F67E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7E85"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мк/мл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AE7E85"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7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ПРМ 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порожнині рота </w:t>
      </w:r>
      <w:r w:rsidR="007E39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дітей з г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стрим лімфобла</w:t>
      </w:r>
      <w:r w:rsidR="006460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стним лейкозом, що визначає їх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провідну роль у виникненні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розвитку запалення 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тканинах пародонт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СОПР</w:t>
      </w: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E835C4" w:rsidRPr="0001280F" w:rsidRDefault="00E835C4" w:rsidP="00E835C4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13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Розроблен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методи диференційної корекції порушень у слизовій оболонці порожнини рота </w:t>
      </w:r>
      <w:r w:rsidR="007E39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дітей, хворих на гострий лімфобластний лейкоз у різні періоди його перебігу, </w:t>
      </w:r>
      <w:r w:rsidR="007E39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полягають у застосуванні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перший гострий період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період рецидиву ГЛЛ аплікацій кверцетин-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поліфенол</w:t>
      </w:r>
      <w:r w:rsidR="009703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вмісн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="00467B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467B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67B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козальних гелів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(нейтралізація дії кислих продуктів запальної реакції, анти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ксидан</w:t>
      </w:r>
      <w:r w:rsidR="00F67E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тна, пребіотична, протизапал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ьна дія</w:t>
      </w:r>
      <w:r w:rsidRP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обробці СОПР антимікотичним препаратом (протигрибкова дія), а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нтисептиком 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сумішшю бісульфату а</w:t>
      </w:r>
      <w:r w:rsidR="0038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лк</w:t>
      </w:r>
      <w:r w:rsidR="0038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38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лоїдів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3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сангві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нарин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хелеритрином</w:t>
      </w:r>
      <w:r w:rsidRP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антимікробний захист</w:t>
      </w:r>
      <w:r w:rsidRP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0E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кератопла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тичним засобом (епітелізація)</w:t>
      </w:r>
      <w:r w:rsidRP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внутрішньо </w:t>
      </w:r>
      <w:r w:rsidR="004A34C1" w:rsidRP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пробіотичного препарату, а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період ремісії</w:t>
      </w:r>
      <w:r w:rsidRP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поліфенол</w:t>
      </w:r>
      <w:r w:rsidR="009703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вмісн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гелю, кератопластичного засобу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пробі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тик</w:t>
      </w:r>
      <w:r w:rsidR="007E39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9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індивідуальної гігієни порожнини рота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безспиртовий лізоцим</w:t>
      </w:r>
      <w:r w:rsidR="009703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вм</w:t>
      </w:r>
      <w:r w:rsidR="009703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703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ий зубний еліксир, </w:t>
      </w:r>
      <w:r w:rsidR="004A34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має протизапальну дію</w:t>
      </w:r>
      <w:r w:rsidRPr="001B34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C0BC2" w:rsidRDefault="00E835C4" w:rsidP="00FE0565">
      <w:pPr>
        <w:spacing w:line="360" w:lineRule="auto"/>
        <w:ind w:firstLine="708"/>
        <w:jc w:val="both"/>
        <w:textAlignment w:val="top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Клінічна ефективність лікування уражень слизової оболонки поро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нини рота </w:t>
      </w:r>
      <w:r w:rsidR="007E39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дітей з гострим лімфобластним лейкозом після застосування ро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12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роблених ЛПЗ</w:t>
      </w:r>
      <w:r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E3908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передбачають проведення гігієни порожнини рота з вик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ристанням дуже м</w:t>
      </w:r>
      <w:r w:rsidR="0001280F"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яких </w:t>
      </w:r>
      <w:r w:rsidR="005F0E0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</w:t>
      </w:r>
      <w:r w:rsidR="0001280F"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яких дитячих зубних щіток </w:t>
      </w:r>
      <w:r w:rsidR="004A34C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паст</w:t>
      </w:r>
      <w:r w:rsidR="00005329"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віку</w:t>
      </w:r>
      <w:r w:rsidR="00005329"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лізоцим</w:t>
      </w:r>
      <w:r w:rsidR="009703C4">
        <w:rPr>
          <w:rFonts w:ascii="Times New Roman" w:eastAsia="Calibri" w:hAnsi="Times New Roman" w:cs="Times New Roman"/>
          <w:sz w:val="28"/>
          <w:szCs w:val="28"/>
          <w:lang w:val="uk-UA"/>
        </w:rPr>
        <w:t>вмісн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зубного еліксиру, аплікацій кверцетин- </w:t>
      </w:r>
      <w:r w:rsidR="004A34C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поліфенол</w:t>
      </w:r>
      <w:r w:rsidR="009703C4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703C4">
        <w:rPr>
          <w:rFonts w:ascii="Times New Roman" w:eastAsia="Calibri" w:hAnsi="Times New Roman" w:cs="Times New Roman"/>
          <w:sz w:val="28"/>
          <w:szCs w:val="28"/>
          <w:lang w:val="uk-UA"/>
        </w:rPr>
        <w:t>місн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их гел</w:t>
      </w:r>
      <w:r w:rsidR="00382380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антимікотичного </w:t>
      </w:r>
      <w:r w:rsidR="005F0E06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антисептичного засобів у поєднанн</w:t>
      </w:r>
      <w:r w:rsidR="00F67E6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F0E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з проб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отиком </w:t>
      </w:r>
      <w:r w:rsidR="005F0E0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кератопластичним препаратом, полягає </w:t>
      </w:r>
      <w:r w:rsidR="005F0E0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зниженні пародонтальних індексів</w:t>
      </w:r>
      <w:r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РМА в 1,7 раз</w:t>
      </w:r>
      <w:r w:rsidR="008134F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0E06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кровоточивості</w:t>
      </w:r>
      <w:r w:rsidR="007E39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E3908"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>4 раз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01280F"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язкості ротової рід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>ни</w:t>
      </w:r>
      <w:r w:rsidR="007E39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E3908"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13%, підвищенн</w:t>
      </w:r>
      <w:r w:rsidR="005F0E06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швидкості слиновиділення</w:t>
      </w:r>
      <w:r w:rsidR="007E39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E3908"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 w:rsidRP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30% </w:t>
      </w:r>
      <w:r w:rsidR="005F0E0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збільшенні відсотк</w:t>
      </w:r>
      <w:r w:rsidR="007E390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128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рухливих ядер КБЕ в середньому на </w:t>
      </w:r>
      <w:r w:rsidRPr="0001280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24,6%, </w:t>
      </w:r>
      <w:r w:rsidR="0001280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амплітуди їх зміщення </w:t>
      </w:r>
      <w:r w:rsidRPr="0001280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– на 23% </w:t>
      </w:r>
      <w:r w:rsidR="004A34C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і</w:t>
      </w:r>
      <w:r w:rsidR="0001280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плазмолем</w:t>
      </w:r>
      <w:r w:rsidRPr="0001280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– на 39%, </w:t>
      </w:r>
      <w:r w:rsidR="0001280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що призводить до нормалізації енергетичних </w:t>
      </w:r>
      <w:r w:rsidR="0001280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lastRenderedPageBreak/>
        <w:t xml:space="preserve">процесів у КБЕ, є показником нормалізації адаптаційних </w:t>
      </w:r>
      <w:r w:rsidR="004A34C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і</w:t>
      </w:r>
      <w:r w:rsidR="0001280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функціональних реакцій у порожнині рота</w:t>
      </w:r>
      <w:r w:rsidRPr="0001280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</w:t>
      </w:r>
    </w:p>
    <w:p w:rsidR="00F67E69" w:rsidRDefault="00F67E69">
      <w:pP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br w:type="page"/>
      </w:r>
    </w:p>
    <w:p w:rsidR="00C76DDC" w:rsidRDefault="0001280F" w:rsidP="008D36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ПРАКТИЧНІ РЕКОМЕНДАЦІЇ</w:t>
      </w:r>
    </w:p>
    <w:p w:rsidR="008D366D" w:rsidRPr="000F0425" w:rsidRDefault="008D366D" w:rsidP="008D36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66D" w:rsidRPr="000E4E1E" w:rsidRDefault="00C76DDC" w:rsidP="008D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4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80F">
        <w:rPr>
          <w:rFonts w:ascii="Times New Roman" w:hAnsi="Times New Roman" w:cs="Times New Roman"/>
          <w:sz w:val="28"/>
          <w:szCs w:val="28"/>
          <w:lang w:val="uk-UA"/>
        </w:rPr>
        <w:t xml:space="preserve">З метою лікування запальних процесів у тканинах пародонту та СОПР у дітей </w:t>
      </w:r>
      <w:r w:rsidRPr="000F04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7E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0425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01280F">
        <w:rPr>
          <w:rFonts w:ascii="Times New Roman" w:hAnsi="Times New Roman" w:cs="Times New Roman"/>
          <w:sz w:val="28"/>
          <w:szCs w:val="28"/>
          <w:lang w:val="uk-UA"/>
        </w:rPr>
        <w:t xml:space="preserve">років на </w:t>
      </w:r>
      <w:r w:rsidR="00B3087E">
        <w:rPr>
          <w:rFonts w:ascii="Times New Roman" w:hAnsi="Times New Roman" w:cs="Times New Roman"/>
          <w:sz w:val="28"/>
          <w:szCs w:val="28"/>
          <w:lang w:val="uk-UA"/>
        </w:rPr>
        <w:t>тл</w:t>
      </w:r>
      <w:r w:rsidR="0001280F">
        <w:rPr>
          <w:rFonts w:ascii="Times New Roman" w:hAnsi="Times New Roman" w:cs="Times New Roman"/>
          <w:sz w:val="28"/>
          <w:szCs w:val="28"/>
          <w:lang w:val="uk-UA"/>
        </w:rPr>
        <w:t>і ГЛЛ до комплексу лікувально-профілактичних зах</w:t>
      </w:r>
      <w:r w:rsidR="0001280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280F">
        <w:rPr>
          <w:rFonts w:ascii="Times New Roman" w:hAnsi="Times New Roman" w:cs="Times New Roman"/>
          <w:sz w:val="28"/>
          <w:szCs w:val="28"/>
          <w:lang w:val="uk-UA"/>
        </w:rPr>
        <w:t>дів слід включати не лише місцеву терапію мукозальними гелями, антисе</w:t>
      </w:r>
      <w:r w:rsidR="000128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1280F">
        <w:rPr>
          <w:rFonts w:ascii="Times New Roman" w:hAnsi="Times New Roman" w:cs="Times New Roman"/>
          <w:sz w:val="28"/>
          <w:szCs w:val="28"/>
          <w:lang w:val="uk-UA"/>
        </w:rPr>
        <w:t>тиком, протигрибковими кератопластичними засобами, але й використовув</w:t>
      </w:r>
      <w:r w:rsidR="0001280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280F">
        <w:rPr>
          <w:rFonts w:ascii="Times New Roman" w:hAnsi="Times New Roman" w:cs="Times New Roman"/>
          <w:sz w:val="28"/>
          <w:szCs w:val="28"/>
          <w:lang w:val="uk-UA"/>
        </w:rPr>
        <w:t>ти лікарські препарати, які відновлюють мікробіоценоз та стимулюють ант</w:t>
      </w:r>
      <w:r w:rsidR="000128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280F">
        <w:rPr>
          <w:rFonts w:ascii="Times New Roman" w:hAnsi="Times New Roman" w:cs="Times New Roman"/>
          <w:sz w:val="28"/>
          <w:szCs w:val="28"/>
          <w:lang w:val="uk-UA"/>
        </w:rPr>
        <w:t>мікробний захист у порожнині рота</w:t>
      </w:r>
      <w:r w:rsidRPr="000F04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366D" w:rsidRPr="008D366D" w:rsidRDefault="008D366D" w:rsidP="008D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1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екомендовано застосовувати таку схему:</w:t>
      </w:r>
    </w:p>
    <w:p w:rsidR="008D366D" w:rsidRDefault="008D366D" w:rsidP="008D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6D">
        <w:rPr>
          <w:rFonts w:ascii="Times New Roman" w:hAnsi="Times New Roman" w:cs="Times New Roman"/>
          <w:sz w:val="28"/>
          <w:szCs w:val="28"/>
          <w:lang w:val="uk-UA"/>
        </w:rPr>
        <w:t>1. Гігієну порожнини рота необхідно проводити з використанням дуже м'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ких і м'яких дитячих зубних щіток і зубних паст (відповідно до віку) двічі на день, полоскання лізоцимвмісним зубним еліксиром – 2 рази на день за 30 хвилин до їжі протягом 1 місяця в дозуванні 1 чайна ложка на 50 мл очищ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ної води.</w:t>
      </w:r>
    </w:p>
    <w:p w:rsidR="008D366D" w:rsidRPr="008D366D" w:rsidRDefault="008D366D" w:rsidP="008D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6D">
        <w:rPr>
          <w:rFonts w:ascii="Times New Roman" w:hAnsi="Times New Roman" w:cs="Times New Roman"/>
          <w:sz w:val="28"/>
          <w:szCs w:val="28"/>
          <w:lang w:val="uk-UA"/>
        </w:rPr>
        <w:t>2. Обробку уражених ділянок СОПР флавоноїдвмісним мукозальним гелем необхідно проводити через годину після їжі вранці протягом 10-14 днів у п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рший гострий період і в період рецидиву ГЛЛ і двічі на день через годину після їжі протягом 1 місяця – у період ремісії ГЛЛ. Аплікації антиоксидан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ного гелю на ясна і СОПР необхідно проводити через годину після їжі ввеч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рі протягом 10-14 днів.</w:t>
      </w:r>
    </w:p>
    <w:p w:rsidR="008D366D" w:rsidRPr="008D366D" w:rsidRDefault="008D366D" w:rsidP="008D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6D">
        <w:rPr>
          <w:rFonts w:ascii="Times New Roman" w:hAnsi="Times New Roman" w:cs="Times New Roman"/>
          <w:sz w:val="28"/>
          <w:szCs w:val="28"/>
          <w:lang w:val="uk-UA"/>
        </w:rPr>
        <w:t>3. Пробіотичний препарат необхідно приймати за 30 хвилин до їжі протягом 1 місяця у відповідній віковій дозі: дітям 1-6 років – по 1 мл на кожен рік життя на добу, дітям до 12 років – 6 мл на добу, дітям старше 12 років – 12 мл на добу.</w:t>
      </w:r>
    </w:p>
    <w:p w:rsidR="008D366D" w:rsidRPr="008D366D" w:rsidRDefault="008D366D" w:rsidP="008D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6D">
        <w:rPr>
          <w:rFonts w:ascii="Times New Roman" w:hAnsi="Times New Roman" w:cs="Times New Roman"/>
          <w:sz w:val="28"/>
          <w:szCs w:val="28"/>
          <w:lang w:val="uk-UA"/>
        </w:rPr>
        <w:t>4.   Обробку уражених ділянок слизової оболонки антимікотичним розчином необхідно проводити 3 рази на день по 20 крапель через 30 хвилин після їжі протягом 10-14 днів.</w:t>
      </w:r>
    </w:p>
    <w:p w:rsidR="008D366D" w:rsidRPr="008D366D" w:rsidRDefault="008D366D" w:rsidP="008D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6D">
        <w:rPr>
          <w:rFonts w:ascii="Times New Roman" w:hAnsi="Times New Roman" w:cs="Times New Roman"/>
          <w:sz w:val="28"/>
          <w:szCs w:val="28"/>
          <w:lang w:val="uk-UA"/>
        </w:rPr>
        <w:lastRenderedPageBreak/>
        <w:t>5. Полоскання СОПР  антимікробним  препаратом рекомендується проводити 3 рази на день через 30 хвилин після їжі протягом 10-14 днів у розведенні 40- 50 крапель на 200 мл води.</w:t>
      </w:r>
    </w:p>
    <w:p w:rsidR="008D366D" w:rsidRPr="008D366D" w:rsidRDefault="008D366D" w:rsidP="008D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6D">
        <w:rPr>
          <w:rFonts w:ascii="Times New Roman" w:hAnsi="Times New Roman" w:cs="Times New Roman"/>
          <w:sz w:val="28"/>
          <w:szCs w:val="28"/>
          <w:lang w:val="uk-UA"/>
        </w:rPr>
        <w:t>6. Аплікації кератопластичного препарату необхідно використовувати 2 рази на день через 30 хвилин після їжі протягом 14 днів, починаючи з третього тижня лікування.</w:t>
      </w:r>
    </w:p>
    <w:p w:rsidR="008D366D" w:rsidRPr="008D366D" w:rsidRDefault="008D366D" w:rsidP="008D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6D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профілактики запальних процесів у тканинах пародонта і СОПР у дітей 2-18 років на тлі ГЛЛ на всіх етапах протокольного лікування рекоме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довано призначати:</w:t>
      </w:r>
    </w:p>
    <w:p w:rsidR="008D366D" w:rsidRPr="008D366D" w:rsidRDefault="008D366D" w:rsidP="008D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6D">
        <w:rPr>
          <w:rFonts w:ascii="Times New Roman" w:hAnsi="Times New Roman" w:cs="Times New Roman"/>
          <w:sz w:val="28"/>
          <w:szCs w:val="28"/>
          <w:lang w:val="uk-UA"/>
        </w:rPr>
        <w:t>1. У перший гострий період і період рецидиву ГЛЛ аплікації на ясна і СОПР антиоксидантного мукозального гелю (протягом тижня) і кератопластичного препарату (протягом 7 днів, починаючи з другого тижня) через 30 хвилин п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366D">
        <w:rPr>
          <w:rFonts w:ascii="Times New Roman" w:hAnsi="Times New Roman" w:cs="Times New Roman"/>
          <w:sz w:val="28"/>
          <w:szCs w:val="28"/>
          <w:lang w:val="uk-UA"/>
        </w:rPr>
        <w:t>сля їжі двічі на день.</w:t>
      </w:r>
    </w:p>
    <w:p w:rsidR="008D366D" w:rsidRPr="008D366D" w:rsidRDefault="008D366D" w:rsidP="008D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6D">
        <w:rPr>
          <w:rFonts w:ascii="Times New Roman" w:hAnsi="Times New Roman" w:cs="Times New Roman"/>
          <w:sz w:val="28"/>
          <w:szCs w:val="28"/>
          <w:lang w:val="uk-UA"/>
        </w:rPr>
        <w:t>2. У період ремісії ГЛЛ, крім гігієни порожнини рота, призначають аплікації на ясна і СОПР мукозального гелю  два рази на день через 30 хвилин після їжі протягом 14 днів.</w:t>
      </w:r>
    </w:p>
    <w:p w:rsidR="008D366D" w:rsidRPr="008D366D" w:rsidRDefault="008D366D" w:rsidP="008D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AC3" w:rsidRPr="00AC1AC3" w:rsidRDefault="00AC1AC3" w:rsidP="00AC1A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</w:p>
    <w:p w:rsidR="00E3443A" w:rsidRDefault="00E344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11CAA" w:rsidRPr="00E11CAA" w:rsidRDefault="00E11CAA" w:rsidP="00E11C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ВИКОРИСТАНИХ  ДЖЕРЕЛ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</w:rPr>
        <w:t>Менткевич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Г.Л.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Лейкозы у детей 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Г.Л.</w:t>
      </w:r>
      <w:r>
        <w:rPr>
          <w:rFonts w:ascii="Times New Roman" w:hAnsi="Times New Roman" w:cs="Times New Roman"/>
          <w:sz w:val="28"/>
          <w:szCs w:val="28"/>
        </w:rPr>
        <w:t xml:space="preserve"> Мен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кевич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,С.А. Маякова. – Москва: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медицина, 2009.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384с.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</w:rPr>
        <w:t>Чехун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Злокачественные новообразования гемопоэтической с</w:t>
      </w:r>
      <w:r w:rsidRPr="006E07DF">
        <w:rPr>
          <w:rFonts w:ascii="Times New Roman" w:hAnsi="Times New Roman" w:cs="Times New Roman"/>
          <w:sz w:val="28"/>
          <w:szCs w:val="28"/>
        </w:rPr>
        <w:t>и</w:t>
      </w:r>
      <w:r w:rsidRPr="006E07DF">
        <w:rPr>
          <w:rFonts w:ascii="Times New Roman" w:hAnsi="Times New Roman" w:cs="Times New Roman"/>
          <w:sz w:val="28"/>
          <w:szCs w:val="28"/>
        </w:rPr>
        <w:t>стемы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 w:rsidRPr="007E33C5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В.Ф.</w:t>
      </w:r>
      <w:r w:rsidRPr="007E33C5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Чехун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Киев: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Медиа,2012.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590с.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E07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Павлова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М.</w:t>
      </w:r>
      <w:r w:rsidRPr="006E07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Лейкозы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 w:rsidRPr="006E07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 детей (Клинико-радиологические исследов</w:t>
      </w:r>
      <w:r w:rsidRPr="006E07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Pr="006E07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ния)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/</w:t>
      </w:r>
      <w:r w:rsidRPr="006E07D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М.</w:t>
      </w:r>
      <w:r w:rsidRPr="006E07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П.</w:t>
      </w:r>
      <w:r w:rsidRPr="004F6F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Павлова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. – Москва: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Высшая школа,2012.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– 384с.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Мамаев Н.Н. </w:t>
      </w:r>
      <w:r w:rsidRPr="006E07DF">
        <w:rPr>
          <w:rFonts w:ascii="Times New Roman" w:hAnsi="Times New Roman" w:cs="Times New Roman"/>
          <w:sz w:val="28"/>
          <w:szCs w:val="28"/>
        </w:rPr>
        <w:t xml:space="preserve">Гематология.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Руководство  для врачей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2-е изд. доп. и испр. – СПб.: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л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, 2011.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615с.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7DF">
        <w:rPr>
          <w:rFonts w:ascii="Times New Roman" w:hAnsi="Times New Roman" w:cs="Times New Roman"/>
          <w:sz w:val="28"/>
          <w:szCs w:val="28"/>
        </w:rPr>
        <w:t>Дементьева И</w:t>
      </w:r>
      <w:r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Патология с</w:t>
      </w:r>
      <w:r>
        <w:rPr>
          <w:rFonts w:ascii="Times New Roman" w:hAnsi="Times New Roman" w:cs="Times New Roman"/>
          <w:sz w:val="28"/>
          <w:szCs w:val="28"/>
        </w:rPr>
        <w:t>истемы гемостаза: руководство/</w:t>
      </w:r>
      <w:r w:rsidRPr="006E07D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.И.</w:t>
      </w:r>
      <w:r w:rsidRPr="006924A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</w:t>
      </w:r>
      <w:r w:rsidRPr="006E07DF">
        <w:rPr>
          <w:rFonts w:ascii="Times New Roman" w:hAnsi="Times New Roman" w:cs="Times New Roman"/>
          <w:sz w:val="28"/>
          <w:szCs w:val="28"/>
        </w:rPr>
        <w:t>е</w:t>
      </w:r>
      <w:r w:rsidRPr="006E07DF">
        <w:rPr>
          <w:rFonts w:ascii="Times New Roman" w:hAnsi="Times New Roman" w:cs="Times New Roman"/>
          <w:sz w:val="28"/>
          <w:szCs w:val="28"/>
        </w:rPr>
        <w:t>ментьева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М.А Чарная., Ю.А. Морозов</w:t>
      </w:r>
      <w:r>
        <w:rPr>
          <w:rFonts w:ascii="Times New Roman" w:hAnsi="Times New Roman" w:cs="Times New Roman"/>
          <w:sz w:val="28"/>
          <w:szCs w:val="28"/>
          <w:lang w:val="uk-UA"/>
        </w:rPr>
        <w:t>. – 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ГЭОТАР-Медиа, 2011.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288с.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Вейнер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М.А.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Секреты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тской онкологии и гематологии /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85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Кейро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Москва:</w:t>
      </w:r>
      <w:r w:rsidRPr="00091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Бином,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Диалент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272с.272с.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Кровь и экология</w:t>
      </w:r>
      <w:r>
        <w:rPr>
          <w:rFonts w:ascii="Times New Roman" w:hAnsi="Times New Roman" w:cs="Times New Roman"/>
          <w:sz w:val="28"/>
          <w:szCs w:val="28"/>
          <w:lang w:val="uk-UA"/>
        </w:rPr>
        <w:t>: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7235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Г.И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Козинец.,</w:t>
      </w:r>
      <w:r w:rsidRPr="00772352">
        <w:rPr>
          <w:rFonts w:ascii="Times New Roman" w:hAnsi="Times New Roman" w:cs="Times New Roman"/>
          <w:sz w:val="28"/>
          <w:szCs w:val="28"/>
        </w:rPr>
        <w:t xml:space="preserve"> </w:t>
      </w:r>
      <w:r w:rsidRPr="005A37F7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Высоцкий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772352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Москва: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медицина, 2007.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432с.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7DF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Наглядная гематология: учеб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  <w:lang w:val="uk-UA"/>
        </w:rPr>
        <w:t>е /</w:t>
      </w:r>
      <w:r w:rsidRPr="00696A8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В.И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Хоффбрэнд </w:t>
      </w:r>
      <w:r>
        <w:rPr>
          <w:rFonts w:ascii="Times New Roman" w:hAnsi="Times New Roman" w:cs="Times New Roman"/>
          <w:sz w:val="28"/>
          <w:szCs w:val="28"/>
          <w:lang w:val="uk-UA"/>
        </w:rPr>
        <w:t>[пер.с англ.</w:t>
      </w:r>
      <w:r w:rsidRPr="00772352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2-е изд.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Москва: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ГЭОТАР-Медиа, 2008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116с.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Заболевания слизистой оболочки рта и губ: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Pr="004F7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Л.А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кова-Аксамит,</w:t>
      </w:r>
      <w:r w:rsidRPr="004F7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С.Д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Арутюнов, Л.В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Петрова,</w:t>
      </w:r>
      <w:r w:rsidRPr="004F7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Перламутров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97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3-е изд.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Москва: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МЕДпресс-информ, 2009.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208с.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Заболевания эндодонта, пародонта 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лизистой оболочки полости рта 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под. ред..проф.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Иорданишвили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Москва: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МЕДпресс-информ, 2008.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344с.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E07DF">
        <w:rPr>
          <w:rFonts w:ascii="Times New Roman" w:hAnsi="Times New Roman" w:cs="Times New Roman"/>
          <w:sz w:val="28"/>
          <w:szCs w:val="28"/>
        </w:rPr>
        <w:t>Гусева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С.А.  Болезни системы крови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С.А.</w:t>
      </w:r>
      <w:r w:rsidRPr="00527AC7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Гусева</w:t>
      </w:r>
      <w:r>
        <w:rPr>
          <w:rFonts w:ascii="Times New Roman" w:hAnsi="Times New Roman" w:cs="Times New Roman"/>
          <w:sz w:val="28"/>
          <w:szCs w:val="28"/>
          <w:lang w:val="uk-UA"/>
        </w:rPr>
        <w:t>. – Москва:</w:t>
      </w:r>
      <w:r w:rsidRPr="006E07DF">
        <w:rPr>
          <w:rFonts w:ascii="Times New Roman" w:hAnsi="Times New Roman" w:cs="Times New Roman"/>
          <w:sz w:val="28"/>
          <w:szCs w:val="28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пресс-информ, 2004.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488с.</w:t>
      </w:r>
    </w:p>
    <w:p w:rsidR="00E11CAA" w:rsidRPr="00625D29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4AA5">
        <w:rPr>
          <w:rFonts w:ascii="Times New Roman" w:hAnsi="Times New Roman" w:cs="Times New Roman"/>
          <w:sz w:val="28"/>
          <w:szCs w:val="28"/>
          <w:lang w:val="uk-UA"/>
        </w:rPr>
        <w:t>Постнова И.В. Острый лейкоз: Характеристика лабораторних показ</w:t>
      </w:r>
      <w:r w:rsidR="001D4A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4AA5">
        <w:rPr>
          <w:rFonts w:ascii="Times New Roman" w:hAnsi="Times New Roman" w:cs="Times New Roman"/>
          <w:sz w:val="28"/>
          <w:szCs w:val="28"/>
          <w:lang w:val="uk-UA"/>
        </w:rPr>
        <w:t xml:space="preserve">телей в полости рта: учеб. – метод. пособие. </w:t>
      </w:r>
      <w:r w:rsidR="00966C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D4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C81">
        <w:rPr>
          <w:rFonts w:ascii="Times New Roman" w:hAnsi="Times New Roman" w:cs="Times New Roman"/>
          <w:sz w:val="28"/>
          <w:szCs w:val="28"/>
          <w:lang w:val="uk-UA"/>
        </w:rPr>
        <w:t>Н.Новгород: Изд-во НижГМА, 2010. – 50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Краткое руководство по</w:t>
      </w:r>
      <w:r>
        <w:rPr>
          <w:rFonts w:ascii="Times New Roman" w:hAnsi="Times New Roman" w:cs="Times New Roman"/>
          <w:sz w:val="28"/>
          <w:szCs w:val="28"/>
        </w:rPr>
        <w:t xml:space="preserve"> лечению опухолевых заболеваний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под ред.</w:t>
      </w:r>
      <w:r w:rsidRPr="00BA2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F7D">
        <w:rPr>
          <w:rFonts w:ascii="Times New Roman" w:hAnsi="Times New Roman" w:cs="Times New Roman"/>
          <w:sz w:val="28"/>
          <w:szCs w:val="28"/>
          <w:lang w:val="uk-UA"/>
        </w:rPr>
        <w:t>М.М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2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F7D">
        <w:rPr>
          <w:rFonts w:ascii="Times New Roman" w:hAnsi="Times New Roman" w:cs="Times New Roman"/>
          <w:sz w:val="28"/>
          <w:szCs w:val="28"/>
          <w:lang w:val="uk-UA"/>
        </w:rPr>
        <w:t>Боядзис.,</w:t>
      </w:r>
      <w:r w:rsidRPr="00BA2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П.Ф.</w:t>
      </w:r>
      <w:r w:rsidRPr="00BA2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F7D">
        <w:rPr>
          <w:rFonts w:ascii="Times New Roman" w:hAnsi="Times New Roman" w:cs="Times New Roman"/>
          <w:sz w:val="28"/>
          <w:szCs w:val="28"/>
          <w:lang w:val="uk-UA"/>
        </w:rPr>
        <w:t>Лебоуиц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6F7D">
        <w:rPr>
          <w:rFonts w:ascii="Times New Roman" w:hAnsi="Times New Roman" w:cs="Times New Roman"/>
          <w:sz w:val="28"/>
          <w:szCs w:val="28"/>
          <w:lang w:val="uk-UA"/>
        </w:rPr>
        <w:t>Дж.Н. Фрейм,</w:t>
      </w:r>
      <w:r w:rsidRPr="00BA2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F7D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F7D">
        <w:rPr>
          <w:rFonts w:ascii="Times New Roman" w:hAnsi="Times New Roman" w:cs="Times New Roman"/>
          <w:sz w:val="28"/>
          <w:szCs w:val="28"/>
          <w:lang w:val="uk-UA"/>
        </w:rPr>
        <w:t>Фоджо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Москва:</w:t>
      </w:r>
      <w:r w:rsidRPr="00C86F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медицина,2009.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984с.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Ялкут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Pr="006E07D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 Биотерапия опухолей/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E07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Ялкут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BA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Г.П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Потебня</w:t>
      </w:r>
      <w:r>
        <w:rPr>
          <w:rFonts w:ascii="Times New Roman" w:hAnsi="Times New Roman" w:cs="Times New Roman"/>
          <w:sz w:val="28"/>
          <w:szCs w:val="28"/>
          <w:lang w:val="uk-UA"/>
        </w:rPr>
        <w:t>. – 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ев: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плюс,2010.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472с.</w:t>
      </w:r>
    </w:p>
    <w:p w:rsidR="00E11CAA" w:rsidRPr="007E610F" w:rsidRDefault="00E11CAA" w:rsidP="00E11CAA">
      <w:pPr>
        <w:pStyle w:val="dso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E610F">
        <w:rPr>
          <w:sz w:val="28"/>
          <w:szCs w:val="28"/>
          <w:lang w:val="uk-UA"/>
        </w:rPr>
        <w:t>Мосиенко</w:t>
      </w:r>
      <w:r>
        <w:rPr>
          <w:sz w:val="28"/>
          <w:szCs w:val="28"/>
          <w:lang w:val="uk-UA"/>
        </w:rPr>
        <w:t xml:space="preserve"> </w:t>
      </w:r>
      <w:r w:rsidRPr="007E610F">
        <w:rPr>
          <w:sz w:val="28"/>
          <w:szCs w:val="28"/>
          <w:lang w:val="uk-UA"/>
        </w:rPr>
        <w:t>В.С</w:t>
      </w:r>
      <w:r>
        <w:rPr>
          <w:sz w:val="28"/>
          <w:szCs w:val="28"/>
          <w:lang w:val="uk-UA"/>
        </w:rPr>
        <w:t>.</w:t>
      </w:r>
      <w:r w:rsidRPr="007E610F">
        <w:rPr>
          <w:sz w:val="28"/>
          <w:szCs w:val="28"/>
          <w:lang w:val="uk-UA"/>
        </w:rPr>
        <w:t>, Интегральные подходы к лечению опухолевой боле</w:t>
      </w:r>
      <w:r w:rsidRPr="007E610F">
        <w:rPr>
          <w:sz w:val="28"/>
          <w:szCs w:val="28"/>
          <w:lang w:val="uk-UA"/>
        </w:rPr>
        <w:t>з</w:t>
      </w:r>
      <w:r w:rsidRPr="007E610F">
        <w:rPr>
          <w:sz w:val="28"/>
          <w:szCs w:val="28"/>
          <w:lang w:val="uk-UA"/>
        </w:rPr>
        <w:t>ни</w:t>
      </w:r>
      <w:r w:rsidRPr="006E07DF">
        <w:rPr>
          <w:rStyle w:val="apple-converted-space"/>
          <w:sz w:val="28"/>
          <w:szCs w:val="28"/>
        </w:rPr>
        <w:t> </w:t>
      </w:r>
      <w:r w:rsidRPr="007E610F">
        <w:rPr>
          <w:rStyle w:val="apple-converted-space"/>
          <w:sz w:val="28"/>
          <w:szCs w:val="28"/>
          <w:lang w:val="uk-UA"/>
        </w:rPr>
        <w:t>/</w:t>
      </w:r>
      <w:r w:rsidRPr="007E610F">
        <w:rPr>
          <w:sz w:val="28"/>
          <w:szCs w:val="28"/>
          <w:shd w:val="clear" w:color="auto" w:fill="FFFFFF"/>
          <w:lang w:val="uk-UA"/>
        </w:rPr>
        <w:t xml:space="preserve"> </w:t>
      </w:r>
      <w:r w:rsidRPr="007E610F">
        <w:rPr>
          <w:sz w:val="28"/>
          <w:szCs w:val="28"/>
          <w:lang w:val="uk-UA"/>
        </w:rPr>
        <w:t>В.С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7E610F">
        <w:rPr>
          <w:sz w:val="28"/>
          <w:szCs w:val="28"/>
          <w:lang w:val="uk-UA"/>
        </w:rPr>
        <w:t xml:space="preserve"> Мосиенко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E610F">
        <w:rPr>
          <w:sz w:val="28"/>
          <w:szCs w:val="28"/>
          <w:lang w:val="uk-UA"/>
        </w:rPr>
        <w:t>Л.К. Куртсеитов</w:t>
      </w:r>
      <w:r>
        <w:rPr>
          <w:sz w:val="28"/>
          <w:szCs w:val="28"/>
          <w:lang w:val="uk-UA"/>
        </w:rPr>
        <w:t>. – Киев:</w:t>
      </w:r>
      <w:r w:rsidRPr="007E610F">
        <w:rPr>
          <w:sz w:val="28"/>
          <w:szCs w:val="28"/>
          <w:lang w:val="uk-UA"/>
        </w:rPr>
        <w:t xml:space="preserve">  </w:t>
      </w:r>
      <w:r w:rsidRPr="007E610F">
        <w:rPr>
          <w:sz w:val="28"/>
          <w:szCs w:val="28"/>
          <w:shd w:val="clear" w:color="auto" w:fill="FFFFFF"/>
          <w:lang w:val="uk-UA"/>
        </w:rPr>
        <w:t xml:space="preserve">Школьный мир, </w:t>
      </w:r>
      <w:r w:rsidRPr="007E610F">
        <w:rPr>
          <w:sz w:val="28"/>
          <w:szCs w:val="28"/>
          <w:lang w:val="uk-UA"/>
        </w:rPr>
        <w:t>2010.</w:t>
      </w:r>
      <w:r>
        <w:rPr>
          <w:sz w:val="28"/>
          <w:szCs w:val="28"/>
          <w:lang w:val="uk-UA"/>
        </w:rPr>
        <w:t xml:space="preserve"> – 445с.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10F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 та лікування захворювань системи крові (посібник для студентів та лікарів-</w:t>
      </w:r>
      <w:r>
        <w:rPr>
          <w:rFonts w:ascii="Times New Roman" w:hAnsi="Times New Roman" w:cs="Times New Roman"/>
          <w:sz w:val="28"/>
          <w:szCs w:val="28"/>
        </w:rPr>
        <w:t>інтернів). Частина 2 /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А.С. Свінціцький, С.А. Гус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ва,С.В. Скрипниченко, І.О.Родіонова. – Київ:</w:t>
      </w:r>
      <w:r w:rsidRPr="00625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Медкнига, 2011.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336с.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Діагностика та лікування захворювань системи крові (посібник для студентів та</w:t>
      </w:r>
      <w:r>
        <w:rPr>
          <w:rFonts w:ascii="Times New Roman" w:hAnsi="Times New Roman" w:cs="Times New Roman"/>
          <w:sz w:val="28"/>
          <w:szCs w:val="28"/>
        </w:rPr>
        <w:t xml:space="preserve"> лікарів-інтернів). Частина 1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Свінціцький, С.А. Гус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ва,С.В. Скрипниченко, І.О.Родіонова. – Київ:</w:t>
      </w:r>
      <w:r w:rsidRPr="00625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Медкнига, 2011.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148с.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Мавродий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В.М.  Анемия: синдромный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рекомендации для интересующихся врачей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В.М.</w:t>
      </w:r>
      <w:r w:rsidRPr="0041596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Мавродий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15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Заславский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Донецк,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47с.</w:t>
      </w:r>
    </w:p>
    <w:p w:rsidR="00E11CAA" w:rsidRPr="00EA17A0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Дементьева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Анемии: руководство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/</w:t>
      </w:r>
      <w:r w:rsidRPr="006E07D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.И.</w:t>
      </w:r>
      <w:r w:rsidRPr="006924A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Дементьева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М.А 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ная., Ю.А. Морозов</w:t>
      </w:r>
      <w:r>
        <w:rPr>
          <w:rFonts w:ascii="Times New Roman" w:hAnsi="Times New Roman" w:cs="Times New Roman"/>
          <w:sz w:val="28"/>
          <w:szCs w:val="28"/>
          <w:lang w:val="uk-UA"/>
        </w:rPr>
        <w:t>. – 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ГЭОТАР-Медиа,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–306с. 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Демидова</w:t>
      </w:r>
      <w:r w:rsidRPr="00307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Анемии /</w:t>
      </w:r>
      <w:r>
        <w:rPr>
          <w:rFonts w:ascii="Times New Roman" w:hAnsi="Times New Roman" w:cs="Times New Roman"/>
          <w:sz w:val="28"/>
          <w:szCs w:val="28"/>
          <w:lang w:val="uk-UA"/>
        </w:rPr>
        <w:t>А.В. Демидова. – Москва: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МЕДпресс-информ, 200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64с.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Вавилова Т.П. Биохимия тканей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жидкостей полости рта: учеб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собие 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Т.П.</w:t>
      </w:r>
      <w:r w:rsidRPr="008A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Вавилова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2-е изд., испр. и доп.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Москва: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ГЭОТАР-Медиа, 2012.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208с.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Левицкий</w:t>
      </w:r>
      <w:r w:rsidRPr="00307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Пребио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тики и проблема дисбактериоза 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А.П.</w:t>
      </w:r>
      <w:r w:rsidRPr="00453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Леви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Ю.Л.</w:t>
      </w:r>
      <w:r w:rsidRPr="00453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Волянский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К.В.</w:t>
      </w:r>
      <w:r w:rsidRPr="00453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Скидан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Харьков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ЭДЭНА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, 2008.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100с.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Левицкий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А. П.</w:t>
      </w:r>
      <w:r w:rsidRPr="006E07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Перспективы применения пребиотиков в мед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цине</w:t>
      </w:r>
      <w:r w:rsidRPr="006E07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6E07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А.П.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Левицкий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//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Вісник фармакології та фармації. − 2007. − № 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С. 16-18.</w:t>
      </w:r>
    </w:p>
    <w:p w:rsidR="00E11CAA" w:rsidRPr="004D5889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E07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6E07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889">
        <w:rPr>
          <w:rFonts w:ascii="Times New Roman" w:hAnsi="Times New Roman" w:cs="Times New Roman"/>
          <w:sz w:val="28"/>
          <w:szCs w:val="28"/>
        </w:rPr>
        <w:t>Нагаева М.О. Диагностика и планирование лечения заболеваний сл</w:t>
      </w:r>
      <w:r w:rsidR="004D5889">
        <w:rPr>
          <w:rFonts w:ascii="Times New Roman" w:hAnsi="Times New Roman" w:cs="Times New Roman"/>
          <w:sz w:val="28"/>
          <w:szCs w:val="28"/>
        </w:rPr>
        <w:t>и</w:t>
      </w:r>
      <w:r w:rsidR="004D5889">
        <w:rPr>
          <w:rFonts w:ascii="Times New Roman" w:hAnsi="Times New Roman" w:cs="Times New Roman"/>
          <w:sz w:val="28"/>
          <w:szCs w:val="28"/>
        </w:rPr>
        <w:t>зистой оболочки полости рта с учетом состояния микробиоценоза р</w:t>
      </w:r>
      <w:r w:rsidR="004D5889">
        <w:rPr>
          <w:rFonts w:ascii="Times New Roman" w:hAnsi="Times New Roman" w:cs="Times New Roman"/>
          <w:sz w:val="28"/>
          <w:szCs w:val="28"/>
        </w:rPr>
        <w:t>о</w:t>
      </w:r>
      <w:r w:rsidR="004D5889">
        <w:rPr>
          <w:rFonts w:ascii="Times New Roman" w:hAnsi="Times New Roman" w:cs="Times New Roman"/>
          <w:sz w:val="28"/>
          <w:szCs w:val="28"/>
        </w:rPr>
        <w:t xml:space="preserve">товой полости </w:t>
      </w:r>
      <w:r w:rsidR="004D5889" w:rsidRPr="006E07DF">
        <w:rPr>
          <w:rFonts w:ascii="Times New Roman" w:hAnsi="Times New Roman" w:cs="Times New Roman"/>
          <w:sz w:val="28"/>
          <w:szCs w:val="28"/>
        </w:rPr>
        <w:t>/</w:t>
      </w:r>
      <w:r w:rsidR="004D5889" w:rsidRPr="0088615D">
        <w:rPr>
          <w:rFonts w:ascii="Times New Roman" w:hAnsi="Times New Roman" w:cs="Times New Roman"/>
          <w:sz w:val="28"/>
          <w:szCs w:val="28"/>
        </w:rPr>
        <w:t xml:space="preserve"> </w:t>
      </w:r>
      <w:r w:rsidR="004D5889">
        <w:rPr>
          <w:rFonts w:ascii="Times New Roman" w:hAnsi="Times New Roman" w:cs="Times New Roman"/>
          <w:sz w:val="28"/>
          <w:szCs w:val="28"/>
        </w:rPr>
        <w:t>М.О.</w:t>
      </w:r>
      <w:r w:rsidR="004D5889" w:rsidRPr="0088615D">
        <w:rPr>
          <w:rFonts w:ascii="Times New Roman" w:hAnsi="Times New Roman" w:cs="Times New Roman"/>
          <w:sz w:val="28"/>
          <w:szCs w:val="28"/>
        </w:rPr>
        <w:t xml:space="preserve"> </w:t>
      </w:r>
      <w:r w:rsidR="004D5889">
        <w:rPr>
          <w:rFonts w:ascii="Times New Roman" w:hAnsi="Times New Roman" w:cs="Times New Roman"/>
          <w:sz w:val="28"/>
          <w:szCs w:val="28"/>
        </w:rPr>
        <w:t xml:space="preserve">Нагаева, И.В. Анисимова, М.Г. Чеснокова </w:t>
      </w:r>
      <w:r w:rsidR="004D5889" w:rsidRPr="006E07DF">
        <w:rPr>
          <w:rFonts w:ascii="Times New Roman" w:hAnsi="Times New Roman" w:cs="Times New Roman"/>
          <w:sz w:val="28"/>
          <w:szCs w:val="28"/>
        </w:rPr>
        <w:t>//</w:t>
      </w:r>
      <w:r w:rsidR="004D5889">
        <w:rPr>
          <w:rFonts w:ascii="Times New Roman" w:hAnsi="Times New Roman" w:cs="Times New Roman"/>
          <w:sz w:val="28"/>
          <w:szCs w:val="28"/>
        </w:rPr>
        <w:t xml:space="preserve"> Науч. – практ. журнал Институт Стоматологии №1(50),2011.</w:t>
      </w:r>
      <w:r w:rsidR="004D5889" w:rsidRPr="004D5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889"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5889"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="004D5889">
        <w:rPr>
          <w:rFonts w:ascii="Times New Roman" w:hAnsi="Times New Roman" w:cs="Times New Roman"/>
          <w:sz w:val="28"/>
          <w:szCs w:val="28"/>
        </w:rPr>
        <w:t xml:space="preserve"> С. 90-91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7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07D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E07D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Иванова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Л.А.</w:t>
      </w:r>
      <w:r w:rsidRPr="006E07D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дисбиоза и пути коррекции микробного состава  полости  рта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втореф.  дис.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соискание учен.степени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кан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наук: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спец.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14.01.14/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Л.А. Иванова. – 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Пермь, 2010.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E11CAA" w:rsidRPr="00797865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97865">
        <w:rPr>
          <w:rFonts w:ascii="Times New Roman" w:hAnsi="Times New Roman" w:cs="Times New Roman"/>
          <w:sz w:val="28"/>
          <w:szCs w:val="28"/>
          <w:lang w:val="uk-UA"/>
        </w:rPr>
        <w:t xml:space="preserve">Мороз 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 xml:space="preserve">Г.І. Захворюваність </w:t>
      </w:r>
      <w:r w:rsidRPr="0079786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>гострі лейкемії дитячого населення України після ка</w:t>
      </w:r>
      <w:r>
        <w:rPr>
          <w:rFonts w:ascii="Times New Roman" w:hAnsi="Times New Roman" w:cs="Times New Roman"/>
          <w:sz w:val="28"/>
          <w:szCs w:val="28"/>
          <w:lang w:val="uk-UA"/>
        </w:rPr>
        <w:t>тастрофи на Чорнобильській АЕС: а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>втореф.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буття наук. ступеня </w:t>
      </w:r>
      <w:r w:rsidRPr="00797865"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>мед. наук</w:t>
      </w:r>
      <w:r w:rsidRPr="003C14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>Г.І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7865">
        <w:rPr>
          <w:rFonts w:ascii="Times New Roman" w:hAnsi="Times New Roman" w:cs="Times New Roman"/>
          <w:sz w:val="28"/>
          <w:szCs w:val="28"/>
          <w:lang w:val="uk-UA"/>
        </w:rPr>
        <w:t>Мороз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Київ, </w:t>
      </w:r>
      <w:r w:rsidRPr="00797865">
        <w:rPr>
          <w:rFonts w:ascii="Times New Roman" w:hAnsi="Times New Roman" w:cs="Times New Roman"/>
          <w:sz w:val="28"/>
          <w:szCs w:val="28"/>
          <w:lang w:val="uk-UA"/>
        </w:rPr>
        <w:t>2000.</w:t>
      </w:r>
      <w:r w:rsidRPr="003C1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>19с.</w:t>
      </w:r>
    </w:p>
    <w:p w:rsidR="00E11CAA" w:rsidRPr="00FA06E6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A06E6">
        <w:rPr>
          <w:rFonts w:ascii="Times New Roman" w:hAnsi="Times New Roman" w:cs="Times New Roman"/>
          <w:sz w:val="28"/>
          <w:szCs w:val="28"/>
          <w:lang w:val="uk-UA"/>
        </w:rPr>
        <w:t>Мороз Г.И. Лейкемии у детей г. Киева после катастрофы Чернобыл</w:t>
      </w:r>
      <w:r w:rsidRPr="00FA06E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A06E6">
        <w:rPr>
          <w:rFonts w:ascii="Times New Roman" w:hAnsi="Times New Roman" w:cs="Times New Roman"/>
          <w:sz w:val="28"/>
          <w:szCs w:val="28"/>
          <w:lang w:val="uk-UA"/>
        </w:rPr>
        <w:t>ской АЕС / Г.И.</w:t>
      </w:r>
      <w:r w:rsidRPr="00556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6E6">
        <w:rPr>
          <w:rFonts w:ascii="Times New Roman" w:hAnsi="Times New Roman" w:cs="Times New Roman"/>
          <w:sz w:val="28"/>
          <w:szCs w:val="28"/>
          <w:lang w:val="uk-UA"/>
        </w:rPr>
        <w:t>Мороз, В.Д.</w:t>
      </w:r>
      <w:r w:rsidRPr="00556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6E6">
        <w:rPr>
          <w:rFonts w:ascii="Times New Roman" w:hAnsi="Times New Roman" w:cs="Times New Roman"/>
          <w:sz w:val="28"/>
          <w:szCs w:val="28"/>
          <w:lang w:val="uk-UA"/>
        </w:rPr>
        <w:t>Дроздова, С.С.</w:t>
      </w:r>
      <w:r w:rsidRPr="00556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6E6">
        <w:rPr>
          <w:rFonts w:ascii="Times New Roman" w:hAnsi="Times New Roman" w:cs="Times New Roman"/>
          <w:sz w:val="28"/>
          <w:szCs w:val="28"/>
          <w:lang w:val="uk-UA"/>
        </w:rPr>
        <w:t xml:space="preserve">Киреева //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Experimental</w:t>
      </w:r>
      <w:r w:rsidRPr="00FA0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Oncologu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65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1999. – Vol</w:t>
      </w:r>
      <w:r w:rsidRPr="00605C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05C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05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5C7F">
        <w:rPr>
          <w:rFonts w:ascii="Times New Roman" w:hAnsi="Times New Roman" w:cs="Times New Roman"/>
          <w:sz w:val="28"/>
          <w:szCs w:val="28"/>
          <w:lang w:val="uk-UA"/>
        </w:rPr>
        <w:t xml:space="preserve">.157-159. 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 xml:space="preserve">Шабалов Н.П. Детские болезни </w:t>
      </w:r>
      <w:r w:rsidRPr="00FA06E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</w:t>
      </w:r>
      <w:r w:rsidRPr="00650C7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Шабалов</w:t>
      </w:r>
      <w:r>
        <w:rPr>
          <w:rFonts w:ascii="Times New Roman" w:hAnsi="Times New Roman" w:cs="Times New Roman"/>
          <w:sz w:val="28"/>
          <w:szCs w:val="28"/>
        </w:rPr>
        <w:t>. – Т.2. – СПб: Питер, 2002.</w:t>
      </w:r>
      <w:r w:rsidRPr="0065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Мякова Н.В. Острый лимфо</w:t>
      </w:r>
      <w:r>
        <w:rPr>
          <w:rFonts w:ascii="Times New Roman" w:hAnsi="Times New Roman" w:cs="Times New Roman"/>
          <w:sz w:val="28"/>
          <w:szCs w:val="28"/>
        </w:rPr>
        <w:t xml:space="preserve">бластный лейкоз у детей / </w:t>
      </w:r>
      <w:r w:rsidRPr="006E07DF">
        <w:rPr>
          <w:rFonts w:ascii="Times New Roman" w:hAnsi="Times New Roman" w:cs="Times New Roman"/>
          <w:sz w:val="28"/>
          <w:szCs w:val="28"/>
        </w:rPr>
        <w:t xml:space="preserve"> Н.В.</w:t>
      </w:r>
      <w:r w:rsidRPr="00A60A3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Мякова,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07DF"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E07DF">
        <w:rPr>
          <w:rFonts w:ascii="Times New Roman" w:hAnsi="Times New Roman" w:cs="Times New Roman"/>
          <w:sz w:val="28"/>
          <w:szCs w:val="28"/>
        </w:rPr>
        <w:t>. Карачунский //Российский мед</w:t>
      </w:r>
      <w:r>
        <w:rPr>
          <w:rFonts w:ascii="Times New Roman" w:hAnsi="Times New Roman" w:cs="Times New Roman"/>
          <w:sz w:val="28"/>
          <w:szCs w:val="28"/>
        </w:rPr>
        <w:t xml:space="preserve">. Журнал. –  </w:t>
      </w:r>
      <w:r w:rsidRPr="006E07DF">
        <w:rPr>
          <w:rFonts w:ascii="Times New Roman" w:hAnsi="Times New Roman" w:cs="Times New Roman"/>
          <w:sz w:val="28"/>
          <w:szCs w:val="28"/>
        </w:rPr>
        <w:t>1996.- №4.- С. 43-44.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7DF">
        <w:rPr>
          <w:rFonts w:ascii="Times New Roman" w:hAnsi="Times New Roman" w:cs="Times New Roman"/>
          <w:sz w:val="28"/>
          <w:szCs w:val="28"/>
        </w:rPr>
        <w:t xml:space="preserve"> Стоматология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: руководство для врачей/ 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07DF">
        <w:rPr>
          <w:rFonts w:ascii="Times New Roman" w:hAnsi="Times New Roman" w:cs="Times New Roman"/>
          <w:sz w:val="28"/>
          <w:szCs w:val="28"/>
        </w:rPr>
        <w:t>од ред. Т. Ф. Виноградовой // Ральф Е. Мак-Дональд, Дейвид Р</w:t>
      </w:r>
      <w:r>
        <w:rPr>
          <w:rFonts w:ascii="Times New Roman" w:hAnsi="Times New Roman" w:cs="Times New Roman"/>
          <w:sz w:val="28"/>
          <w:szCs w:val="28"/>
        </w:rPr>
        <w:t xml:space="preserve">. Эйвери. – </w:t>
      </w:r>
      <w:r w:rsidRPr="006E07DF">
        <w:rPr>
          <w:rFonts w:ascii="Times New Roman" w:hAnsi="Times New Roman" w:cs="Times New Roman"/>
          <w:sz w:val="28"/>
          <w:szCs w:val="28"/>
        </w:rPr>
        <w:t xml:space="preserve"> Москва, 2003.</w:t>
      </w:r>
      <w:r w:rsidRPr="00F2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>С.588-598.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Поражение десен при остром лейкозе / Л.К.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Ончул, Н.Т.</w:t>
      </w:r>
      <w:r w:rsidRPr="00ED1E2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Ватутин, И.Н. Марос-Таранец </w:t>
      </w:r>
      <w:r w:rsidRPr="00F27E5A">
        <w:rPr>
          <w:rFonts w:ascii="Times New Roman" w:hAnsi="Times New Roman" w:cs="Times New Roman"/>
          <w:sz w:val="28"/>
          <w:szCs w:val="28"/>
        </w:rPr>
        <w:t>[</w:t>
      </w:r>
      <w:r w:rsidRPr="006E07DF">
        <w:rPr>
          <w:rFonts w:ascii="Times New Roman" w:hAnsi="Times New Roman" w:cs="Times New Roman"/>
          <w:sz w:val="28"/>
          <w:szCs w:val="28"/>
        </w:rPr>
        <w:t>и др.</w:t>
      </w:r>
      <w:r w:rsidRPr="00F27E5A">
        <w:rPr>
          <w:rFonts w:ascii="Times New Roman" w:hAnsi="Times New Roman" w:cs="Times New Roman"/>
          <w:sz w:val="28"/>
          <w:szCs w:val="28"/>
        </w:rPr>
        <w:t>]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>//Віс</w:t>
      </w:r>
      <w:r>
        <w:rPr>
          <w:rFonts w:ascii="Times New Roman" w:hAnsi="Times New Roman" w:cs="Times New Roman"/>
          <w:sz w:val="28"/>
          <w:szCs w:val="28"/>
          <w:lang w:val="uk-UA"/>
        </w:rPr>
        <w:t>тник стоматології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>2001.</w:t>
      </w:r>
      <w:r w:rsidRPr="00F2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№4.</w:t>
      </w:r>
      <w:r w:rsidRPr="00F2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 69.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Попруженко Т.В. Дифференциальная диагностика патологических изменений слизистой оболочки полости рта у детей, больных острым лимфобластным лейкозом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r w:rsidRPr="006E07DF">
        <w:rPr>
          <w:rFonts w:ascii="Times New Roman" w:hAnsi="Times New Roman" w:cs="Times New Roman"/>
          <w:sz w:val="28"/>
          <w:szCs w:val="28"/>
        </w:rPr>
        <w:t>Попруженко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// Новое в стоматологии.</w:t>
      </w:r>
      <w:r w:rsidRPr="00F2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>2000.</w:t>
      </w:r>
      <w:r w:rsidRPr="00F2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 xml:space="preserve"> №9.</w:t>
      </w:r>
      <w:r w:rsidRPr="00F2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>С. 45-49.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Заболевания СОПР / Н.Ф.</w:t>
      </w:r>
      <w:r w:rsidRPr="00AE588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Данилевский, В.К.</w:t>
      </w:r>
      <w:r w:rsidRPr="00AE588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Леонтьев, А.Ф.</w:t>
      </w:r>
      <w:r w:rsidRPr="00AE588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Нессин </w:t>
      </w:r>
      <w:r w:rsidRPr="00AE5888">
        <w:rPr>
          <w:rFonts w:ascii="Times New Roman" w:hAnsi="Times New Roman" w:cs="Times New Roman"/>
          <w:sz w:val="28"/>
          <w:szCs w:val="28"/>
        </w:rPr>
        <w:t>[</w:t>
      </w:r>
      <w:r w:rsidRPr="006E07DF">
        <w:rPr>
          <w:rFonts w:ascii="Times New Roman" w:hAnsi="Times New Roman" w:cs="Times New Roman"/>
          <w:sz w:val="28"/>
          <w:szCs w:val="28"/>
        </w:rPr>
        <w:t>и др.</w:t>
      </w:r>
      <w:r w:rsidRPr="00AE58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Москва, 2001.</w:t>
      </w:r>
      <w:r w:rsidRPr="00A56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 xml:space="preserve">Лукиных Л.М. Заболевания слизистой оболочки полости рта: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07DF">
        <w:rPr>
          <w:rFonts w:ascii="Times New Roman" w:hAnsi="Times New Roman" w:cs="Times New Roman"/>
          <w:sz w:val="28"/>
          <w:szCs w:val="28"/>
        </w:rPr>
        <w:t>чебное пособие /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07DF">
        <w:rPr>
          <w:rFonts w:ascii="Times New Roman" w:hAnsi="Times New Roman" w:cs="Times New Roman"/>
          <w:sz w:val="28"/>
          <w:szCs w:val="28"/>
        </w:rPr>
        <w:t>од ред. Л.М.Лукиных</w:t>
      </w:r>
      <w:r>
        <w:rPr>
          <w:rFonts w:ascii="Times New Roman" w:hAnsi="Times New Roman" w:cs="Times New Roman"/>
          <w:sz w:val="28"/>
          <w:szCs w:val="28"/>
        </w:rPr>
        <w:t xml:space="preserve">.– </w:t>
      </w:r>
      <w:r w:rsidRPr="006E07DF">
        <w:rPr>
          <w:rFonts w:ascii="Times New Roman" w:hAnsi="Times New Roman" w:cs="Times New Roman"/>
          <w:sz w:val="28"/>
          <w:szCs w:val="28"/>
        </w:rPr>
        <w:t>Н.Новго</w:t>
      </w:r>
      <w:r>
        <w:rPr>
          <w:rFonts w:ascii="Times New Roman" w:hAnsi="Times New Roman" w:cs="Times New Roman"/>
          <w:sz w:val="28"/>
          <w:szCs w:val="28"/>
        </w:rPr>
        <w:t xml:space="preserve">род: Изд-во НГМИ, </w:t>
      </w:r>
      <w:r w:rsidRPr="006E07DF">
        <w:rPr>
          <w:rFonts w:ascii="Times New Roman" w:hAnsi="Times New Roman" w:cs="Times New Roman"/>
          <w:sz w:val="28"/>
          <w:szCs w:val="28"/>
        </w:rPr>
        <w:t>1993.</w:t>
      </w:r>
      <w:r w:rsidRPr="00A56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Быщук В.А. О профилактике и лечении микотических инфекций при острых лейкозах / В.А.</w:t>
      </w:r>
      <w:r w:rsidRPr="0002567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Быщук, И.З.</w:t>
      </w:r>
      <w:r w:rsidRPr="0002567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Политов, Ж.В.</w:t>
      </w:r>
      <w:r w:rsidRPr="0002567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Собкова 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 xml:space="preserve">//Лікування </w:t>
      </w:r>
      <w:r w:rsidRPr="006E07DF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діагностика. – </w:t>
      </w:r>
      <w:r w:rsidRPr="006E07DF">
        <w:rPr>
          <w:rFonts w:ascii="Times New Roman" w:hAnsi="Times New Roman" w:cs="Times New Roman"/>
          <w:sz w:val="28"/>
          <w:szCs w:val="28"/>
        </w:rPr>
        <w:t>1998.</w:t>
      </w:r>
      <w:r w:rsidRPr="00025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№2.</w:t>
      </w:r>
      <w:r w:rsidRPr="00025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С.71-72.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Казакова Р.В. Заболевания слизистой оболочки полости рта</w:t>
      </w:r>
      <w:r>
        <w:rPr>
          <w:rFonts w:ascii="Times New Roman" w:hAnsi="Times New Roman" w:cs="Times New Roman"/>
          <w:sz w:val="28"/>
          <w:szCs w:val="28"/>
        </w:rPr>
        <w:t xml:space="preserve"> у детей (Справочное пособие)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Р.В. Казакова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Ивано-Франковск, 1997.- 32с.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Роль микрофлоры в патологии слизистой оболочки рта  / И.М.</w:t>
      </w:r>
      <w:r w:rsidRPr="00855795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Раб</w:t>
      </w:r>
      <w:r w:rsidRPr="006E07DF">
        <w:rPr>
          <w:rFonts w:ascii="Times New Roman" w:hAnsi="Times New Roman" w:cs="Times New Roman"/>
          <w:sz w:val="28"/>
          <w:szCs w:val="28"/>
        </w:rPr>
        <w:t>и</w:t>
      </w:r>
      <w:r w:rsidRPr="006E07DF">
        <w:rPr>
          <w:rFonts w:ascii="Times New Roman" w:hAnsi="Times New Roman" w:cs="Times New Roman"/>
          <w:sz w:val="28"/>
          <w:szCs w:val="28"/>
        </w:rPr>
        <w:t>нович, Г.В.</w:t>
      </w:r>
      <w:r w:rsidRPr="00855795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Банченко, О.Ф.</w:t>
      </w:r>
      <w:r w:rsidRPr="00855795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Рабинович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E.B.</w:t>
      </w:r>
      <w:r w:rsidRPr="00855795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Иванова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[</w:t>
      </w:r>
      <w:r w:rsidRPr="006E07DF">
        <w:rPr>
          <w:rFonts w:ascii="Times New Roman" w:hAnsi="Times New Roman" w:cs="Times New Roman"/>
          <w:sz w:val="28"/>
          <w:szCs w:val="28"/>
        </w:rPr>
        <w:t>и др.</w:t>
      </w:r>
      <w:r w:rsidRPr="00855795">
        <w:rPr>
          <w:rFonts w:ascii="Times New Roman" w:hAnsi="Times New Roman" w:cs="Times New Roman"/>
          <w:sz w:val="28"/>
          <w:szCs w:val="28"/>
        </w:rPr>
        <w:t>]</w:t>
      </w:r>
      <w:r w:rsidRPr="006E07DF">
        <w:rPr>
          <w:rFonts w:ascii="Times New Roman" w:hAnsi="Times New Roman" w:cs="Times New Roman"/>
          <w:sz w:val="28"/>
          <w:szCs w:val="28"/>
        </w:rPr>
        <w:t xml:space="preserve"> //</w:t>
      </w:r>
      <w:r w:rsidRPr="0085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тология.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2002.</w:t>
      </w:r>
      <w:r w:rsidRPr="0085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№5.</w:t>
      </w:r>
      <w:r w:rsidRPr="0085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>С.48-50.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 xml:space="preserve">Дмитриева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07DF"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07DF">
        <w:rPr>
          <w:rFonts w:ascii="Times New Roman" w:hAnsi="Times New Roman" w:cs="Times New Roman"/>
          <w:sz w:val="28"/>
          <w:szCs w:val="28"/>
        </w:rPr>
        <w:t>. Клиника и особенности лечения поражения слиз</w:t>
      </w:r>
      <w:r w:rsidRPr="006E07DF">
        <w:rPr>
          <w:rFonts w:ascii="Times New Roman" w:hAnsi="Times New Roman" w:cs="Times New Roman"/>
          <w:sz w:val="28"/>
          <w:szCs w:val="28"/>
        </w:rPr>
        <w:t>и</w:t>
      </w:r>
      <w:r w:rsidRPr="006E07DF">
        <w:rPr>
          <w:rFonts w:ascii="Times New Roman" w:hAnsi="Times New Roman" w:cs="Times New Roman"/>
          <w:sz w:val="28"/>
          <w:szCs w:val="28"/>
        </w:rPr>
        <w:t xml:space="preserve">стой оболочки полости рта у больных лейкозами /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07DF"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07DF">
        <w:rPr>
          <w:rFonts w:ascii="Times New Roman" w:hAnsi="Times New Roman" w:cs="Times New Roman"/>
          <w:sz w:val="28"/>
          <w:szCs w:val="28"/>
        </w:rPr>
        <w:t>.</w:t>
      </w:r>
      <w:r w:rsidRPr="00AD5CC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Дмитриева, A.B.</w:t>
      </w:r>
      <w:r w:rsidRPr="00AD5CC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Бурый,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07DF"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E07DF">
        <w:rPr>
          <w:rFonts w:ascii="Times New Roman" w:hAnsi="Times New Roman" w:cs="Times New Roman"/>
          <w:sz w:val="28"/>
          <w:szCs w:val="28"/>
        </w:rPr>
        <w:t>. Аванесов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Москва,</w:t>
      </w:r>
      <w:r w:rsidRPr="006E07DF">
        <w:rPr>
          <w:rFonts w:ascii="Times New Roman" w:hAnsi="Times New Roman" w:cs="Times New Roman"/>
          <w:sz w:val="28"/>
          <w:szCs w:val="28"/>
        </w:rPr>
        <w:t xml:space="preserve"> 1994.</w:t>
      </w:r>
      <w:r w:rsidRPr="00AD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</w:rPr>
        <w:t>Шизон Ж. Вирусные и грибковые инфекции у иммунокомпро -м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E07DF">
        <w:rPr>
          <w:rFonts w:ascii="Times New Roman" w:hAnsi="Times New Roman" w:cs="Times New Roman"/>
          <w:sz w:val="28"/>
          <w:szCs w:val="28"/>
        </w:rPr>
        <w:t>тированных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Ж. </w:t>
      </w:r>
      <w:r w:rsidRPr="006E07DF">
        <w:rPr>
          <w:rFonts w:ascii="Times New Roman" w:hAnsi="Times New Roman" w:cs="Times New Roman"/>
          <w:sz w:val="28"/>
          <w:szCs w:val="28"/>
        </w:rPr>
        <w:t>Шизон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Гематология и трансфузиология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BF7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 2002.</w:t>
      </w:r>
      <w:r w:rsidRPr="005A3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>43.</w:t>
      </w:r>
      <w:r w:rsidRPr="005A3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№3.</w:t>
      </w:r>
      <w:r w:rsidRPr="005A3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27-29.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Style w:val="1pt1"/>
          <w:sz w:val="28"/>
          <w:szCs w:val="28"/>
        </w:rPr>
      </w:pPr>
      <w:r>
        <w:rPr>
          <w:rStyle w:val="100"/>
          <w:sz w:val="28"/>
          <w:szCs w:val="28"/>
          <w:lang w:val="uk-UA"/>
        </w:rPr>
        <w:t xml:space="preserve"> </w:t>
      </w:r>
      <w:r w:rsidRPr="006E07DF">
        <w:rPr>
          <w:rStyle w:val="100"/>
          <w:sz w:val="28"/>
          <w:szCs w:val="28"/>
        </w:rPr>
        <w:t>Шиф</w:t>
      </w:r>
      <w:r>
        <w:rPr>
          <w:rStyle w:val="100"/>
          <w:sz w:val="28"/>
          <w:szCs w:val="28"/>
        </w:rPr>
        <w:t>фман Ф.Дж. Патофизиология крови</w:t>
      </w:r>
      <w:r w:rsidRPr="006E07DF">
        <w:rPr>
          <w:rStyle w:val="1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0"/>
          <w:sz w:val="28"/>
          <w:szCs w:val="28"/>
        </w:rPr>
        <w:t>Ф.Дж.</w:t>
      </w:r>
      <w:r w:rsidRPr="006E07DF">
        <w:rPr>
          <w:rStyle w:val="100"/>
          <w:sz w:val="28"/>
          <w:szCs w:val="28"/>
        </w:rPr>
        <w:t xml:space="preserve"> Шиф</w:t>
      </w:r>
      <w:r>
        <w:rPr>
          <w:rStyle w:val="100"/>
          <w:sz w:val="28"/>
          <w:szCs w:val="28"/>
        </w:rPr>
        <w:t xml:space="preserve">фман </w:t>
      </w:r>
      <w:r w:rsidRPr="007E48C3">
        <w:rPr>
          <w:rStyle w:val="100"/>
          <w:sz w:val="28"/>
          <w:szCs w:val="28"/>
        </w:rPr>
        <w:t>[</w:t>
      </w:r>
      <w:r>
        <w:rPr>
          <w:rStyle w:val="100"/>
          <w:sz w:val="28"/>
          <w:szCs w:val="28"/>
        </w:rPr>
        <w:t>п</w:t>
      </w:r>
      <w:r w:rsidRPr="006E07DF">
        <w:rPr>
          <w:rStyle w:val="100"/>
          <w:sz w:val="28"/>
          <w:szCs w:val="28"/>
        </w:rPr>
        <w:t>ер с англ.</w:t>
      </w:r>
      <w:r w:rsidRPr="007E48C3">
        <w:rPr>
          <w:rStyle w:val="100"/>
          <w:sz w:val="28"/>
          <w:szCs w:val="28"/>
        </w:rPr>
        <w:t>]</w:t>
      </w:r>
      <w:r>
        <w:rPr>
          <w:rStyle w:val="100"/>
          <w:sz w:val="28"/>
          <w:szCs w:val="28"/>
        </w:rPr>
        <w:t>.</w:t>
      </w:r>
      <w:r w:rsidRPr="006E07DF">
        <w:rPr>
          <w:rStyle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Style w:val="100"/>
          <w:sz w:val="28"/>
          <w:szCs w:val="28"/>
        </w:rPr>
        <w:t xml:space="preserve"> М</w:t>
      </w:r>
      <w:r>
        <w:rPr>
          <w:rStyle w:val="100"/>
          <w:sz w:val="28"/>
          <w:szCs w:val="28"/>
        </w:rPr>
        <w:t>осква</w:t>
      </w:r>
      <w:r w:rsidRPr="006E07DF">
        <w:rPr>
          <w:rStyle w:val="1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Style w:val="100"/>
          <w:sz w:val="28"/>
          <w:szCs w:val="28"/>
        </w:rPr>
        <w:t xml:space="preserve"> СПб., 2003.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Style w:val="1pt1"/>
          <w:sz w:val="28"/>
          <w:szCs w:val="28"/>
        </w:rPr>
        <w:t>448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Style w:val="100"/>
          <w:sz w:val="28"/>
          <w:szCs w:val="28"/>
        </w:rPr>
      </w:pPr>
      <w:r>
        <w:rPr>
          <w:rStyle w:val="100"/>
          <w:sz w:val="28"/>
          <w:szCs w:val="28"/>
          <w:lang w:val="uk-UA"/>
        </w:rPr>
        <w:t xml:space="preserve"> </w:t>
      </w:r>
      <w:r w:rsidRPr="006E07DF">
        <w:rPr>
          <w:rStyle w:val="100"/>
          <w:sz w:val="28"/>
          <w:szCs w:val="28"/>
        </w:rPr>
        <w:t>Маковская Е.А. Диагностика, клиника и лечение стоматитов у бол</w:t>
      </w:r>
      <w:r w:rsidRPr="006E07DF">
        <w:rPr>
          <w:rStyle w:val="100"/>
          <w:sz w:val="28"/>
          <w:szCs w:val="28"/>
        </w:rPr>
        <w:t>ь</w:t>
      </w:r>
      <w:r w:rsidRPr="006E07DF">
        <w:rPr>
          <w:rStyle w:val="100"/>
          <w:sz w:val="28"/>
          <w:szCs w:val="28"/>
        </w:rPr>
        <w:t xml:space="preserve">ных лейкозами: </w:t>
      </w:r>
      <w:r>
        <w:rPr>
          <w:rStyle w:val="100"/>
          <w:sz w:val="28"/>
          <w:szCs w:val="28"/>
        </w:rPr>
        <w:t>а</w:t>
      </w:r>
      <w:r w:rsidRPr="006E07DF">
        <w:rPr>
          <w:rStyle w:val="100"/>
          <w:sz w:val="28"/>
          <w:szCs w:val="28"/>
        </w:rPr>
        <w:t xml:space="preserve">втореф. дис.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соискание учен. степени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кан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наук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Pr="006E07DF">
        <w:rPr>
          <w:rStyle w:val="100"/>
          <w:sz w:val="28"/>
          <w:szCs w:val="28"/>
        </w:rPr>
        <w:t>Маковская</w:t>
      </w:r>
      <w:r>
        <w:rPr>
          <w:rStyle w:val="100"/>
          <w:sz w:val="28"/>
          <w:szCs w:val="28"/>
        </w:rPr>
        <w:t>.</w:t>
      </w:r>
      <w:r w:rsidRPr="006E07DF">
        <w:rPr>
          <w:rStyle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Style w:val="100"/>
          <w:sz w:val="28"/>
          <w:szCs w:val="28"/>
        </w:rPr>
        <w:t xml:space="preserve"> Казань, 2000.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Style w:val="100"/>
          <w:sz w:val="28"/>
          <w:szCs w:val="28"/>
        </w:rPr>
        <w:t xml:space="preserve">  19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Style w:val="100"/>
          <w:sz w:val="28"/>
          <w:szCs w:val="28"/>
        </w:rPr>
      </w:pPr>
      <w:r>
        <w:rPr>
          <w:rStyle w:val="100"/>
          <w:sz w:val="28"/>
          <w:szCs w:val="28"/>
          <w:lang w:val="uk-UA"/>
        </w:rPr>
        <w:t xml:space="preserve"> </w:t>
      </w:r>
      <w:r w:rsidRPr="006E07DF">
        <w:rPr>
          <w:rStyle w:val="100"/>
          <w:sz w:val="28"/>
          <w:szCs w:val="28"/>
        </w:rPr>
        <w:t>Гажва С.И. Комплексное исследование слизистой оболочки дорсал</w:t>
      </w:r>
      <w:r w:rsidRPr="006E07DF">
        <w:rPr>
          <w:rStyle w:val="100"/>
          <w:sz w:val="28"/>
          <w:szCs w:val="28"/>
        </w:rPr>
        <w:t>ь</w:t>
      </w:r>
      <w:r w:rsidRPr="006E07DF">
        <w:rPr>
          <w:rStyle w:val="100"/>
          <w:sz w:val="28"/>
          <w:szCs w:val="28"/>
        </w:rPr>
        <w:t>ной поверхности языка с целью диагностики ряда патологических с</w:t>
      </w:r>
      <w:r w:rsidRPr="006E07DF">
        <w:rPr>
          <w:rStyle w:val="100"/>
          <w:sz w:val="28"/>
          <w:szCs w:val="28"/>
        </w:rPr>
        <w:t>о</w:t>
      </w:r>
      <w:r w:rsidRPr="006E07DF">
        <w:rPr>
          <w:rStyle w:val="100"/>
          <w:sz w:val="28"/>
          <w:szCs w:val="28"/>
        </w:rPr>
        <w:t xml:space="preserve">стояний и идентификации личности: </w:t>
      </w:r>
      <w:r>
        <w:rPr>
          <w:rStyle w:val="100"/>
          <w:sz w:val="28"/>
          <w:szCs w:val="28"/>
        </w:rPr>
        <w:t>а</w:t>
      </w:r>
      <w:r w:rsidRPr="006E07DF">
        <w:rPr>
          <w:rStyle w:val="100"/>
          <w:sz w:val="28"/>
          <w:szCs w:val="28"/>
        </w:rPr>
        <w:t xml:space="preserve">втореф. дис.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соискание учен. степени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д-ра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мед.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наук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>
        <w:rPr>
          <w:rStyle w:val="100"/>
          <w:sz w:val="28"/>
          <w:szCs w:val="28"/>
        </w:rPr>
        <w:t xml:space="preserve"> С.И.</w:t>
      </w:r>
      <w:r w:rsidRPr="0063567B">
        <w:rPr>
          <w:rStyle w:val="100"/>
          <w:sz w:val="28"/>
          <w:szCs w:val="28"/>
        </w:rPr>
        <w:t xml:space="preserve"> </w:t>
      </w:r>
      <w:r w:rsidRPr="006E07DF">
        <w:rPr>
          <w:rStyle w:val="100"/>
          <w:sz w:val="28"/>
          <w:szCs w:val="28"/>
        </w:rPr>
        <w:t>Гажва</w:t>
      </w:r>
      <w:r>
        <w:rPr>
          <w:rStyle w:val="100"/>
          <w:sz w:val="28"/>
          <w:szCs w:val="28"/>
        </w:rPr>
        <w:t xml:space="preserve">,  2000.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94454">
        <w:rPr>
          <w:rStyle w:val="100"/>
          <w:sz w:val="28"/>
          <w:szCs w:val="28"/>
        </w:rPr>
        <w:t>22с.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0"/>
          <w:sz w:val="28"/>
          <w:szCs w:val="28"/>
          <w:lang w:val="uk-UA"/>
        </w:rPr>
        <w:t xml:space="preserve"> </w:t>
      </w:r>
      <w:r w:rsidRPr="006E07DF">
        <w:rPr>
          <w:rStyle w:val="100"/>
          <w:sz w:val="28"/>
          <w:szCs w:val="28"/>
        </w:rPr>
        <w:t>Гайсенюк Л.А. Диагностика и лечение злокачественных лимфом</w:t>
      </w:r>
      <w:r>
        <w:rPr>
          <w:rStyle w:val="1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 w:rsidRPr="006E07DF">
        <w:rPr>
          <w:rStyle w:val="100"/>
          <w:sz w:val="28"/>
          <w:szCs w:val="28"/>
        </w:rPr>
        <w:t xml:space="preserve"> </w:t>
      </w:r>
      <w:r>
        <w:rPr>
          <w:rStyle w:val="100"/>
          <w:sz w:val="28"/>
          <w:szCs w:val="28"/>
        </w:rPr>
        <w:t>Л.А.</w:t>
      </w:r>
      <w:r w:rsidRPr="009232F1">
        <w:rPr>
          <w:rStyle w:val="100"/>
          <w:sz w:val="28"/>
          <w:szCs w:val="28"/>
        </w:rPr>
        <w:t xml:space="preserve"> </w:t>
      </w:r>
      <w:r w:rsidRPr="006E07DF">
        <w:rPr>
          <w:rStyle w:val="100"/>
          <w:sz w:val="28"/>
          <w:szCs w:val="28"/>
        </w:rPr>
        <w:t>Гайсенюк</w:t>
      </w:r>
      <w:r>
        <w:rPr>
          <w:rStyle w:val="100"/>
          <w:sz w:val="28"/>
          <w:szCs w:val="28"/>
        </w:rPr>
        <w:t xml:space="preserve"> </w:t>
      </w:r>
      <w:r w:rsidRPr="006E07DF">
        <w:rPr>
          <w:rStyle w:val="100"/>
          <w:sz w:val="28"/>
          <w:szCs w:val="28"/>
        </w:rPr>
        <w:t>// Междунар</w:t>
      </w:r>
      <w:r>
        <w:rPr>
          <w:rStyle w:val="100"/>
          <w:sz w:val="28"/>
          <w:szCs w:val="28"/>
        </w:rPr>
        <w:t>.</w:t>
      </w:r>
      <w:r w:rsidRPr="006E07DF">
        <w:rPr>
          <w:rStyle w:val="100"/>
          <w:sz w:val="28"/>
          <w:szCs w:val="28"/>
        </w:rPr>
        <w:t xml:space="preserve"> </w:t>
      </w:r>
      <w:r>
        <w:rPr>
          <w:rStyle w:val="100"/>
          <w:sz w:val="28"/>
          <w:szCs w:val="28"/>
        </w:rPr>
        <w:t>м</w:t>
      </w:r>
      <w:r w:rsidRPr="006E07DF">
        <w:rPr>
          <w:rStyle w:val="100"/>
          <w:sz w:val="28"/>
          <w:szCs w:val="28"/>
        </w:rPr>
        <w:t>ед</w:t>
      </w:r>
      <w:r>
        <w:rPr>
          <w:rStyle w:val="100"/>
          <w:sz w:val="28"/>
          <w:szCs w:val="28"/>
        </w:rPr>
        <w:t>.</w:t>
      </w:r>
      <w:r w:rsidRPr="006E07DF">
        <w:rPr>
          <w:rStyle w:val="100"/>
          <w:sz w:val="28"/>
          <w:szCs w:val="28"/>
        </w:rPr>
        <w:t xml:space="preserve"> журнал.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Style w:val="100"/>
          <w:sz w:val="28"/>
          <w:szCs w:val="28"/>
        </w:rPr>
        <w:t xml:space="preserve"> 2000.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Style w:val="100"/>
          <w:sz w:val="28"/>
          <w:szCs w:val="28"/>
        </w:rPr>
        <w:t xml:space="preserve"> № 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E07DF">
        <w:rPr>
          <w:rStyle w:val="100"/>
          <w:sz w:val="28"/>
          <w:szCs w:val="28"/>
        </w:rPr>
        <w:t>С. 65-68.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 xml:space="preserve">Бебешко В.Г. </w:t>
      </w:r>
      <w:r w:rsidRPr="006E07DF">
        <w:rPr>
          <w:rFonts w:ascii="Times New Roman" w:hAnsi="Times New Roman" w:cs="Times New Roman"/>
          <w:sz w:val="28"/>
          <w:szCs w:val="28"/>
        </w:rPr>
        <w:t>Вопросы патогенеза радиационноиндуцированных ле</w:t>
      </w:r>
      <w:r w:rsidRPr="006E07DF">
        <w:rPr>
          <w:rFonts w:ascii="Times New Roman" w:hAnsi="Times New Roman" w:cs="Times New Roman"/>
          <w:sz w:val="28"/>
          <w:szCs w:val="28"/>
        </w:rPr>
        <w:t>й</w:t>
      </w:r>
      <w:r w:rsidRPr="006E07DF">
        <w:rPr>
          <w:rFonts w:ascii="Times New Roman" w:hAnsi="Times New Roman" w:cs="Times New Roman"/>
          <w:sz w:val="28"/>
          <w:szCs w:val="28"/>
        </w:rPr>
        <w:t>кемий</w:t>
      </w:r>
      <w:r>
        <w:rPr>
          <w:rFonts w:ascii="Times New Roman" w:hAnsi="Times New Roman" w:cs="Times New Roman"/>
          <w:sz w:val="28"/>
          <w:szCs w:val="28"/>
        </w:rPr>
        <w:t xml:space="preserve"> и дисгемопоэтических синдромов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FD5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>Бебешко</w:t>
      </w:r>
      <w:r>
        <w:rPr>
          <w:rFonts w:ascii="Times New Roman" w:hAnsi="Times New Roman" w:cs="Times New Roman"/>
          <w:sz w:val="28"/>
          <w:szCs w:val="28"/>
        </w:rPr>
        <w:t xml:space="preserve"> //Журнал АМН.</w:t>
      </w:r>
      <w:r w:rsidRPr="00FD5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Style w:val="1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1999.</w:t>
      </w:r>
      <w:r w:rsidRPr="00FD5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Style w:val="1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№5.</w:t>
      </w:r>
      <w:r w:rsidRPr="00FD5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07DF">
        <w:rPr>
          <w:rStyle w:val="100"/>
          <w:sz w:val="28"/>
          <w:szCs w:val="28"/>
        </w:rPr>
        <w:t xml:space="preserve"> </w:t>
      </w:r>
      <w:r>
        <w:rPr>
          <w:rStyle w:val="1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E07DF">
        <w:rPr>
          <w:rFonts w:ascii="Times New Roman" w:hAnsi="Times New Roman" w:cs="Times New Roman"/>
          <w:sz w:val="28"/>
          <w:szCs w:val="28"/>
        </w:rPr>
        <w:t>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Дмитриева Л.А. </w:t>
      </w:r>
      <w:r w:rsidRPr="006E07DF">
        <w:rPr>
          <w:rFonts w:ascii="Times New Roman" w:hAnsi="Times New Roman" w:cs="Times New Roman"/>
          <w:sz w:val="28"/>
          <w:szCs w:val="28"/>
        </w:rPr>
        <w:t xml:space="preserve">Терапевтическая стоматология //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07DF">
        <w:rPr>
          <w:rFonts w:ascii="Times New Roman" w:hAnsi="Times New Roman" w:cs="Times New Roman"/>
          <w:sz w:val="28"/>
          <w:szCs w:val="28"/>
        </w:rPr>
        <w:t>од ред. Л.А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0B8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Дми</w:t>
      </w:r>
      <w:r w:rsidRPr="006E07DF">
        <w:rPr>
          <w:rFonts w:ascii="Times New Roman" w:hAnsi="Times New Roman" w:cs="Times New Roman"/>
          <w:sz w:val="28"/>
          <w:szCs w:val="28"/>
        </w:rPr>
        <w:t>т</w:t>
      </w:r>
      <w:r w:rsidRPr="006E07DF">
        <w:rPr>
          <w:rFonts w:ascii="Times New Roman" w:hAnsi="Times New Roman" w:cs="Times New Roman"/>
          <w:sz w:val="28"/>
          <w:szCs w:val="28"/>
        </w:rPr>
        <w:t>риевой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7DF">
        <w:rPr>
          <w:rFonts w:ascii="Times New Roman" w:hAnsi="Times New Roman" w:cs="Times New Roman"/>
          <w:sz w:val="28"/>
          <w:szCs w:val="28"/>
        </w:rPr>
        <w:t xml:space="preserve"> 2003.</w:t>
      </w:r>
      <w:r w:rsidRPr="0029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>896 с.</w:t>
      </w:r>
    </w:p>
    <w:p w:rsidR="00E11CAA" w:rsidRPr="00290B8A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90B8A">
        <w:rPr>
          <w:rFonts w:ascii="Times New Roman" w:hAnsi="Times New Roman" w:cs="Times New Roman"/>
          <w:sz w:val="28"/>
          <w:szCs w:val="28"/>
        </w:rPr>
        <w:t>Зайчик А.Ш. Основы общей патологии: учебник. Ч. 2: Основы пат</w:t>
      </w:r>
      <w:r w:rsidRPr="00290B8A">
        <w:rPr>
          <w:rFonts w:ascii="Times New Roman" w:hAnsi="Times New Roman" w:cs="Times New Roman"/>
          <w:sz w:val="28"/>
          <w:szCs w:val="28"/>
        </w:rPr>
        <w:t>о</w:t>
      </w:r>
      <w:r w:rsidRPr="00290B8A">
        <w:rPr>
          <w:rFonts w:ascii="Times New Roman" w:hAnsi="Times New Roman" w:cs="Times New Roman"/>
          <w:sz w:val="28"/>
          <w:szCs w:val="28"/>
        </w:rPr>
        <w:t xml:space="preserve">химии / А.Ш. Зайчик,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0B8A">
        <w:rPr>
          <w:rFonts w:ascii="Times New Roman" w:hAnsi="Times New Roman" w:cs="Times New Roman"/>
          <w:sz w:val="28"/>
          <w:szCs w:val="28"/>
        </w:rPr>
        <w:t>.П. Чурилов.</w:t>
      </w:r>
      <w:r w:rsidRPr="00290B8A">
        <w:rPr>
          <w:rFonts w:ascii="Times New Roman" w:hAnsi="Times New Roman" w:cs="Times New Roman"/>
          <w:sz w:val="28"/>
          <w:szCs w:val="28"/>
          <w:lang w:val="uk-UA"/>
        </w:rPr>
        <w:t xml:space="preserve"> – СПб.: Элби,</w:t>
      </w:r>
      <w:r w:rsidRPr="00290B8A">
        <w:rPr>
          <w:rFonts w:ascii="Times New Roman" w:hAnsi="Times New Roman" w:cs="Times New Roman"/>
          <w:sz w:val="28"/>
          <w:szCs w:val="28"/>
        </w:rPr>
        <w:t xml:space="preserve"> 2000.</w:t>
      </w:r>
      <w:r w:rsidRPr="00290B8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668с.</w:t>
      </w:r>
    </w:p>
    <w:p w:rsidR="00E11CAA" w:rsidRPr="00290B8A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B8A">
        <w:rPr>
          <w:rFonts w:ascii="Times New Roman" w:hAnsi="Times New Roman" w:cs="Times New Roman"/>
          <w:sz w:val="28"/>
          <w:szCs w:val="28"/>
        </w:rPr>
        <w:t>Чебнэр Б.Э. Руководство по онкологии / Б.Э.</w:t>
      </w:r>
      <w:r w:rsidRPr="00D82C6A">
        <w:rPr>
          <w:rFonts w:ascii="Times New Roman" w:hAnsi="Times New Roman" w:cs="Times New Roman"/>
          <w:sz w:val="28"/>
          <w:szCs w:val="28"/>
        </w:rPr>
        <w:t xml:space="preserve"> </w:t>
      </w:r>
      <w:r w:rsidRPr="00290B8A">
        <w:rPr>
          <w:rFonts w:ascii="Times New Roman" w:hAnsi="Times New Roman" w:cs="Times New Roman"/>
          <w:sz w:val="28"/>
          <w:szCs w:val="28"/>
        </w:rPr>
        <w:t>Чебнэр, Т.Дж.</w:t>
      </w:r>
      <w:r w:rsidRPr="00D82C6A">
        <w:rPr>
          <w:rFonts w:ascii="Times New Roman" w:hAnsi="Times New Roman" w:cs="Times New Roman"/>
          <w:sz w:val="28"/>
          <w:szCs w:val="28"/>
        </w:rPr>
        <w:t xml:space="preserve"> </w:t>
      </w:r>
      <w:r w:rsidRPr="00290B8A">
        <w:rPr>
          <w:rFonts w:ascii="Times New Roman" w:hAnsi="Times New Roman" w:cs="Times New Roman"/>
          <w:sz w:val="28"/>
          <w:szCs w:val="28"/>
        </w:rPr>
        <w:t>Линч, Д.Л.</w:t>
      </w:r>
      <w:r w:rsidRPr="00716D0E">
        <w:rPr>
          <w:rFonts w:ascii="Times New Roman" w:hAnsi="Times New Roman" w:cs="Times New Roman"/>
          <w:sz w:val="28"/>
          <w:szCs w:val="28"/>
        </w:rPr>
        <w:t xml:space="preserve"> </w:t>
      </w:r>
      <w:r w:rsidRPr="00290B8A">
        <w:rPr>
          <w:rFonts w:ascii="Times New Roman" w:hAnsi="Times New Roman" w:cs="Times New Roman"/>
          <w:sz w:val="28"/>
          <w:szCs w:val="28"/>
        </w:rPr>
        <w:t>Лонго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0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Москва: </w:t>
      </w:r>
      <w:r w:rsidRPr="00290B8A">
        <w:rPr>
          <w:rFonts w:ascii="Times New Roman" w:hAnsi="Times New Roman" w:cs="Times New Roman"/>
          <w:sz w:val="28"/>
          <w:szCs w:val="28"/>
          <w:shd w:val="clear" w:color="auto" w:fill="FFFFFF"/>
        </w:rPr>
        <w:t>МЕДпресс-информ,</w:t>
      </w:r>
      <w:r w:rsidRPr="00290B8A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290B8A">
        <w:rPr>
          <w:rFonts w:ascii="Times New Roman" w:hAnsi="Times New Roman" w:cs="Times New Roman"/>
          <w:sz w:val="28"/>
          <w:szCs w:val="28"/>
        </w:rPr>
        <w:t>2011. – 135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Ковалев Д. В.  Злокачественные опухоли у детей: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чеб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пособие /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В.Ковалев,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В. Копосов, В. И. Ковалев. – Москва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: ЭликсКом, 2004. – 63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Опухоли и опухолеподобные процессы у детей: классификация, мо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фология, гистогенез, молекулярная биология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 ред. Е.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Pr="00490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Черствой, Г. И.</w:t>
      </w:r>
      <w:r w:rsidRPr="00490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Кравцова, А. В.</w:t>
      </w:r>
      <w:r w:rsidRPr="00490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Фурманчук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инск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: ООО "Асар", 2002.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400 с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Белогурова М.Б. Детская онко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логия: Руководство для врачей /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М.Б.</w:t>
      </w:r>
      <w:r w:rsidRPr="00822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Белогурова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22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СПб: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Спец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Лит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, 2002. – 234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Лаптева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О.Г. Колонизационная резистентность полости рта при ос</w:t>
      </w:r>
      <w:r w:rsidRPr="006E07DF">
        <w:rPr>
          <w:rFonts w:ascii="Times New Roman" w:hAnsi="Times New Roman" w:cs="Times New Roman"/>
          <w:sz w:val="28"/>
          <w:szCs w:val="28"/>
        </w:rPr>
        <w:t>т</w:t>
      </w:r>
      <w:r w:rsidRPr="006E07DF">
        <w:rPr>
          <w:rFonts w:ascii="Times New Roman" w:hAnsi="Times New Roman" w:cs="Times New Roman"/>
          <w:sz w:val="28"/>
          <w:szCs w:val="28"/>
        </w:rPr>
        <w:t xml:space="preserve">рых лейкозах: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07DF">
        <w:rPr>
          <w:rFonts w:ascii="Times New Roman" w:hAnsi="Times New Roman" w:cs="Times New Roman"/>
          <w:sz w:val="28"/>
          <w:szCs w:val="28"/>
        </w:rPr>
        <w:t xml:space="preserve">втореф. </w:t>
      </w:r>
      <w:r w:rsidRPr="006E07DF">
        <w:rPr>
          <w:rStyle w:val="100"/>
          <w:sz w:val="28"/>
          <w:szCs w:val="28"/>
        </w:rPr>
        <w:t xml:space="preserve">дис.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соискание учен. степени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канд. мед.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наук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О.Г.</w:t>
      </w:r>
      <w:r w:rsidRPr="00C3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Лаптева.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Волгоград, 2000.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27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Лукиных </w:t>
      </w:r>
      <w:r w:rsidRPr="006E07DF">
        <w:rPr>
          <w:rFonts w:ascii="Times New Roman" w:hAnsi="Times New Roman" w:cs="Times New Roman"/>
          <w:sz w:val="28"/>
          <w:szCs w:val="28"/>
        </w:rPr>
        <w:t>Л.М.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слизистой оболочки полости рта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Л.М.</w:t>
      </w:r>
      <w:r w:rsidRPr="00C3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Лукиных.</w:t>
      </w:r>
      <w:r w:rsidRPr="00C3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Н. Новгород: Изд-в</w:t>
      </w:r>
      <w:r>
        <w:rPr>
          <w:rFonts w:ascii="Times New Roman" w:hAnsi="Times New Roman" w:cs="Times New Roman"/>
          <w:sz w:val="28"/>
          <w:szCs w:val="28"/>
        </w:rPr>
        <w:t>о Нижегородской гос. мед. акад.</w:t>
      </w:r>
      <w:r w:rsidRPr="006E07DF">
        <w:rPr>
          <w:rFonts w:ascii="Times New Roman" w:hAnsi="Times New Roman" w:cs="Times New Roman"/>
          <w:sz w:val="28"/>
          <w:szCs w:val="28"/>
        </w:rPr>
        <w:t xml:space="preserve">, 2000.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367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Мерз</w:t>
      </w:r>
      <w:r>
        <w:rPr>
          <w:rFonts w:ascii="Times New Roman" w:hAnsi="Times New Roman" w:cs="Times New Roman"/>
          <w:sz w:val="28"/>
          <w:szCs w:val="28"/>
        </w:rPr>
        <w:t>лова Н.Б. Гемобластозы у детей: м</w:t>
      </w:r>
      <w:r w:rsidRPr="006E07DF">
        <w:rPr>
          <w:rFonts w:ascii="Times New Roman" w:hAnsi="Times New Roman" w:cs="Times New Roman"/>
          <w:sz w:val="28"/>
          <w:szCs w:val="28"/>
        </w:rPr>
        <w:t>етод, рекомендации / Н.Б.</w:t>
      </w:r>
      <w:r w:rsidRPr="008E7139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Мерзлова, Г.Я.</w:t>
      </w:r>
      <w:r w:rsidRPr="008E7139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Денисова, М.Г.</w:t>
      </w:r>
      <w:r w:rsidRPr="008E7139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Пчельников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Пермь: П</w:t>
      </w:r>
      <w:r>
        <w:rPr>
          <w:rFonts w:ascii="Times New Roman" w:hAnsi="Times New Roman" w:cs="Times New Roman"/>
          <w:sz w:val="28"/>
          <w:szCs w:val="28"/>
        </w:rPr>
        <w:t>ерм. гос. мед. акад.</w:t>
      </w:r>
      <w:r w:rsidRPr="006E07DF">
        <w:rPr>
          <w:rFonts w:ascii="Times New Roman" w:hAnsi="Times New Roman" w:cs="Times New Roman"/>
          <w:sz w:val="28"/>
          <w:szCs w:val="28"/>
        </w:rPr>
        <w:t xml:space="preserve">, 2001.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32 с.</w:t>
      </w:r>
    </w:p>
    <w:p w:rsidR="00E11CAA" w:rsidRPr="004A719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Bergmann </w:t>
      </w:r>
      <w:r>
        <w:rPr>
          <w:rFonts w:ascii="Times New Roman" w:hAnsi="Times New Roman" w:cs="Times New Roman"/>
          <w:sz w:val="28"/>
          <w:szCs w:val="28"/>
          <w:lang w:val="es-ES_tradnl" w:eastAsia="es-ES_tradnl"/>
        </w:rPr>
        <w:t>O.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J. Oral infections and fever in immunocompromised patients with hamotologic malignancies </w:t>
      </w:r>
      <w:r w:rsidRPr="008E713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s-ES_tradnl" w:eastAsia="es-ES_tradnl"/>
        </w:rPr>
        <w:t>O.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J. Bergmann // Eur. J. Clin. Microb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iol. Infect. Dis.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1999.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Vol.</w:t>
      </w:r>
      <w:r>
        <w:rPr>
          <w:rFonts w:ascii="Times New Roman" w:hAnsi="Times New Roman" w:cs="Times New Roman"/>
          <w:sz w:val="28"/>
          <w:szCs w:val="28"/>
          <w:lang w:eastAsia="en-US"/>
        </w:rPr>
        <w:t>8,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3.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P.207-213.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Льюис С.М. Практическая и лабораторная гематология / С.М. Льюис, Б. Бэйн, И. Бейтс.</w:t>
      </w:r>
      <w:r w:rsidRPr="00F81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81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Москва: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ГЭОТАР-Медиа, 2009.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672 с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Гольдберг Е.Б. Дизрегуляционная патология системы крови / Е.Б.</w:t>
      </w:r>
      <w:r w:rsidRPr="00E13BD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Гольдберг</w:t>
      </w:r>
      <w:r>
        <w:rPr>
          <w:rFonts w:ascii="Times New Roman" w:hAnsi="Times New Roman" w:cs="Times New Roman"/>
          <w:sz w:val="28"/>
          <w:szCs w:val="28"/>
        </w:rPr>
        <w:t xml:space="preserve">, Г.Н. Крыжановский.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Москва: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МИА, 2009. – 201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 КРОВЬ: Клинический анализ. Диагностика анемий и лейкозов. И</w:t>
      </w:r>
      <w:r w:rsidRPr="006E07DF">
        <w:rPr>
          <w:rFonts w:ascii="Times New Roman" w:hAnsi="Times New Roman" w:cs="Times New Roman"/>
          <w:sz w:val="28"/>
          <w:szCs w:val="28"/>
        </w:rPr>
        <w:t>н</w:t>
      </w:r>
      <w:r w:rsidRPr="006E07DF">
        <w:rPr>
          <w:rFonts w:ascii="Times New Roman" w:hAnsi="Times New Roman" w:cs="Times New Roman"/>
          <w:sz w:val="28"/>
          <w:szCs w:val="28"/>
        </w:rPr>
        <w:t>терпретация результатов / Г.И. Козинец, В.М. Погорелов</w:t>
      </w:r>
      <w:r w:rsidRPr="00AE081C">
        <w:rPr>
          <w:rFonts w:ascii="Times New Roman" w:hAnsi="Times New Roman" w:cs="Times New Roman"/>
          <w:sz w:val="28"/>
          <w:szCs w:val="28"/>
        </w:rPr>
        <w:t>[</w:t>
      </w:r>
      <w:r w:rsidRPr="006E07D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E081C">
        <w:rPr>
          <w:rFonts w:ascii="Times New Roman" w:hAnsi="Times New Roman" w:cs="Times New Roman"/>
          <w:sz w:val="28"/>
          <w:szCs w:val="28"/>
        </w:rPr>
        <w:t>]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AE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Москва: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Медицина, 2006. – 33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Бэйн Б. Дж. Справочник гематолога.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A-Z / Б. Дж. Бэйн, Р. Гупта.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: БИНОМ. Лаборатория знаний, 2004. – 132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Рукавицын О. А. Хронические лейкозы: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онография / О. А.</w:t>
      </w:r>
      <w:r w:rsidRPr="005C1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Рукав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цын, В. П. Поп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C1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БИНОМ. Лаборатория знаний, 2004.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240 с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Терентьева Н.А. Лимфома Ходжкина (лимфогранулематоз): моногр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фия / Н.А. Терентьева, А.В. Алясова, Б.Е. Шахов.–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Новосибирск: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Изд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-во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НГМА, 2008. – 16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Дурнов Л.А. Клинические лекции по детской онкологии: в 2 ч. Часть 1. Гриф УМО/ Л.А. Дурнов, И.В. Бондарь, Л.В. Валентей </w:t>
      </w:r>
      <w:r w:rsidRPr="0097469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  <w:r w:rsidRPr="0097469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МИА, 2006. – С. 19-25.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Клинические лекции по детской онкологии: в 2 ч. Часть 2. Гриф УМО / Л.А. Дурнов, И.В. Бондарь, Л.В. Валентей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469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Pr="0097469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97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Москва: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МИА, 2006. – 22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Барер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Т.М. Терапевтическая стоматология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4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Часть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 Т.М. Барер.</w:t>
      </w:r>
      <w:r w:rsidRPr="00A52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2005.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284с.</w:t>
      </w:r>
      <w:r w:rsidRPr="006E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Камерон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 Справочник по детской стоматологии / А.Камерон,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Уидмер.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пресс-информ, 2003.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287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Лукиных, Л.М. Приоритеты в стоматологии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Л.М.Лукиных.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Клин.стоматология.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С.64 - 67.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Мельниченко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Э.М. Клиника химиотерапевтического лейкоза у детей больных острым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лимфобластным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лейкозом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 Э.М.Мельниченко, Т.В.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Попруженко, О.В.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Алейникова // Новое в стоматологии.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1999.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3.</w:t>
      </w:r>
      <w:r w:rsidRPr="00E40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С.16-19.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Назарова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Состояние полости рта у детей с заболеваниями крови / П.Назарова, Л.М. Хазиева, Т.Н. Кендюхова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0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Уфа: Башкир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мед.ун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т, 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0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21 - 23.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Попруженко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Т.В. Дифференциальная диагностика патологических изменений полости рта у детей больных острым лимфобластным ле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козом / Т.В. Попруженко // Новое в стоматологии.</w:t>
      </w:r>
      <w:r w:rsidRPr="0028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2000.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С.45 - 49.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Савченко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В.Т. Острые лейкозы / В.Т.Савченко, Е.Н. Паровичникова.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2004.</w:t>
      </w:r>
      <w:r w:rsidRPr="0028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147 с.</w:t>
      </w:r>
    </w:p>
    <w:p w:rsidR="00E11CAA" w:rsidRPr="001D4AA5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4AA5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Попов Е.А. Современная диагностика и лечение острых лейкозов </w:t>
      </w:r>
      <w:r w:rsidR="001D4AA5"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="001D4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Е.А.Попов,</w:t>
      </w:r>
      <w:r w:rsidR="001D4AA5" w:rsidRPr="001D4AA5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1D4AA5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Б.Н. Левитан, Л.В. Заклякова. – Астрахань: АГМА, 2008. – 85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Персин Л.С., Елизарова В.М.  Стоматология детского возраста / Л.С</w:t>
      </w:r>
      <w:r w:rsidRPr="00060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Персин., В.М.</w:t>
      </w:r>
      <w:r w:rsidRPr="00060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Елизарова</w:t>
      </w:r>
      <w:r w:rsidR="00894454" w:rsidRPr="00894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894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Pr="00894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894454" w:rsidRPr="00894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Москва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Медицина, 2003. – 640с.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32A">
        <w:rPr>
          <w:rFonts w:ascii="Times New Roman" w:eastAsia="Times New Roman" w:hAnsi="Times New Roman" w:cs="Times New Roman"/>
          <w:sz w:val="28"/>
          <w:szCs w:val="28"/>
        </w:rPr>
        <w:t xml:space="preserve">Смирнова О.В. Иммунометаболические механизмы развития острых лейкозов </w:t>
      </w:r>
      <w:r w:rsidR="007B032A"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7B0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 Смирнова, А.А. Савченко, В.Т. Минчук. – Красноярск : НИИ мед. проблем</w:t>
      </w:r>
      <w:r w:rsidR="00B56C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Севера, КрасГМУ, 2001. – 123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 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Токмакова С.И. Язвенно-некротический стоматит на фоне острых лейкозов / С.И. Токмакова, Ю.В. Луницына, О.В. Сысоева //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матол.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журнал.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2008. – № 6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– С. 46-47.</w:t>
      </w:r>
    </w:p>
    <w:p w:rsidR="00E11CAA" w:rsidRPr="00527AC7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27A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Борисев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ч-Лєвіцка М. Зміни в порожнині рота під час і після пром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невої терапії – профілактіка та лікування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3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</w:t>
      </w:r>
      <w:r w:rsidRPr="003B37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</w:t>
      </w:r>
      <w:r w:rsidRPr="003B37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27A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Борисев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ч-Лєвіцка  // Новини стоматології.</w:t>
      </w:r>
      <w:r w:rsidRPr="003B37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2002.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№3. – С. 31-33.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A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Влияние полихимиотерапии на слизистую оболочку полости рта больных острыми миелобластными лейкозами / Л.С. Любимова, О.Г. Акопян, Г.В. Банченко </w:t>
      </w:r>
      <w:r w:rsidRPr="001F757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Стоматология. – 2000. - №3. – С. 18-22.</w:t>
      </w:r>
    </w:p>
    <w:p w:rsidR="00E11CAA" w:rsidRPr="005B66D1" w:rsidRDefault="00E11CAA" w:rsidP="00E11CAA">
      <w:pPr>
        <w:pStyle w:val="a3"/>
        <w:numPr>
          <w:ilvl w:val="0"/>
          <w:numId w:val="11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C03BF">
        <w:rPr>
          <w:rFonts w:ascii="Times New Roman" w:hAnsi="Times New Roman" w:cs="Times New Roman"/>
          <w:sz w:val="28"/>
          <w:szCs w:val="28"/>
          <w:lang w:val="uk-UA"/>
        </w:rPr>
        <w:t>Луцкая И.В. Заболевания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слизистой оболочки полости рта 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/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3B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C03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03BF">
        <w:rPr>
          <w:rFonts w:ascii="Times New Roman" w:hAnsi="Times New Roman" w:cs="Times New Roman"/>
          <w:sz w:val="28"/>
          <w:szCs w:val="28"/>
          <w:lang w:val="uk-UA"/>
        </w:rPr>
        <w:t>цкая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C03BF"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0C03BF">
        <w:rPr>
          <w:rFonts w:ascii="Times New Roman" w:hAnsi="Times New Roman" w:cs="Times New Roman"/>
          <w:sz w:val="28"/>
          <w:szCs w:val="28"/>
        </w:rPr>
        <w:t>: Мед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3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лит</w:t>
      </w:r>
      <w:r w:rsidRPr="000C0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3BF">
        <w:rPr>
          <w:rFonts w:ascii="Times New Roman" w:hAnsi="Times New Roman" w:cs="Times New Roman"/>
          <w:sz w:val="28"/>
          <w:szCs w:val="28"/>
        </w:rPr>
        <w:t xml:space="preserve"> 2007.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3BF">
        <w:rPr>
          <w:rFonts w:ascii="Times New Roman" w:hAnsi="Times New Roman" w:cs="Times New Roman"/>
          <w:sz w:val="28"/>
          <w:szCs w:val="28"/>
        </w:rPr>
        <w:t xml:space="preserve">288 с.  </w:t>
      </w:r>
    </w:p>
    <w:p w:rsidR="00E11CAA" w:rsidRPr="005B149A" w:rsidRDefault="00E11CAA" w:rsidP="00E11CAA">
      <w:pPr>
        <w:pStyle w:val="a3"/>
        <w:numPr>
          <w:ilvl w:val="0"/>
          <w:numId w:val="11"/>
        </w:numP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B149A">
        <w:rPr>
          <w:rFonts w:ascii="Times New Roman" w:hAnsi="Times New Roman" w:cs="Times New Roman"/>
          <w:sz w:val="28"/>
          <w:szCs w:val="28"/>
        </w:rPr>
        <w:t xml:space="preserve">Мониторинг стоматологической заболеваемости у детей Украины  </w:t>
      </w:r>
      <w:r w:rsidRPr="005B149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/ </w:t>
      </w:r>
      <w:r w:rsidRPr="005B149A">
        <w:rPr>
          <w:rFonts w:ascii="Times New Roman" w:hAnsi="Times New Roman" w:cs="Times New Roman"/>
          <w:sz w:val="28"/>
          <w:szCs w:val="28"/>
        </w:rPr>
        <w:t>О.В. Деньга, В.С. Иванов, В.Н. Горохивский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57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  <w:r w:rsidRPr="001F757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Дентальные те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нологии. </w:t>
      </w:r>
      <w:r w:rsidRPr="000C03BF">
        <w:rPr>
          <w:rFonts w:ascii="Times New Roman" w:hAnsi="Times New Roman" w:cs="Times New Roman"/>
          <w:sz w:val="28"/>
          <w:szCs w:val="28"/>
        </w:rPr>
        <w:t>–</w:t>
      </w:r>
      <w:r w:rsidRPr="001F757F">
        <w:rPr>
          <w:rFonts w:ascii="Times New Roman" w:hAnsi="Times New Roman" w:cs="Times New Roman"/>
          <w:sz w:val="28"/>
          <w:szCs w:val="28"/>
        </w:rPr>
        <w:t xml:space="preserve"> 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2003. </w:t>
      </w:r>
      <w:r w:rsidRPr="000C03BF">
        <w:rPr>
          <w:rFonts w:ascii="Times New Roman" w:hAnsi="Times New Roman" w:cs="Times New Roman"/>
          <w:sz w:val="28"/>
          <w:szCs w:val="28"/>
        </w:rPr>
        <w:t>–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>№6</w:t>
      </w:r>
      <w:r w:rsidRPr="001F7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(14).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>. 2 – 6.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Мадай </w:t>
      </w:r>
      <w:r w:rsidRPr="00CA78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Д.Ю. Болезни слизистой оболочки полости рта / Д.Ю.</w:t>
      </w:r>
      <w:r w:rsidRPr="00CA78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Мадай, Д.А. Цвигайло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СПб., 1997. 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22 с.</w:t>
      </w:r>
    </w:p>
    <w:p w:rsidR="00E11CAA" w:rsidRPr="003A7623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Дроботько Л.Н. Профилактика и лечение заболеваний слизистой об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лочки полости рта / Л.Н. Дроботько, С.Ю. Страхова // Рус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ед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 жу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нал.</w:t>
      </w:r>
      <w:r w:rsidRPr="00CA7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2004.</w:t>
      </w:r>
      <w:r w:rsidRPr="00CA7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6, № 4.</w:t>
      </w:r>
      <w:r w:rsidRPr="00CA7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С.8-16.</w:t>
      </w:r>
    </w:p>
    <w:p w:rsidR="00E11CAA" w:rsidRPr="0008570A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Воронина В.Р. Хронический кандидоз кожи и слизистых у детей 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В.Р.</w:t>
      </w:r>
      <w:r w:rsidRPr="001B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Воронина, Ю.С.</w:t>
      </w:r>
      <w:r w:rsidRPr="001B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Смолкин, А.А.</w:t>
      </w:r>
      <w:r w:rsidRPr="001B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Чебуркин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Вестник  дерматол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гии и венерологии. 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2004. </w:t>
      </w:r>
      <w:r w:rsidRPr="005B149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№1– с. 46 – 49.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Руденко М.М. Кандидозы полости рта детей взрослых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/</w:t>
      </w:r>
      <w:r w:rsidRPr="00485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М.М.</w:t>
      </w:r>
      <w:r w:rsidRPr="0019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ко, Б.Л.</w:t>
      </w:r>
      <w:r w:rsidRPr="00085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Цевух, Ж.А.</w:t>
      </w:r>
      <w:r w:rsidRPr="0019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Новикова.</w:t>
      </w:r>
      <w:r w:rsidRPr="0019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485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Одесса : Астропринт, 2001. – 44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AA" w:rsidRPr="001C3DFA" w:rsidRDefault="00E11CAA" w:rsidP="00E11CAA">
      <w:pPr>
        <w:pStyle w:val="af2"/>
        <w:numPr>
          <w:ilvl w:val="0"/>
          <w:numId w:val="11"/>
        </w:numPr>
        <w:spacing w:line="360" w:lineRule="auto"/>
        <w:ind w:left="786"/>
        <w:jc w:val="both"/>
        <w:textAlignment w:val="baseline"/>
        <w:rPr>
          <w:rStyle w:val="af5"/>
          <w:iCs w:val="0"/>
          <w:color w:val="000000"/>
          <w:sz w:val="28"/>
          <w:szCs w:val="28"/>
        </w:rPr>
      </w:pPr>
      <w:r>
        <w:rPr>
          <w:rStyle w:val="af5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Томіліна Т.В. Прогнозування виникнення герпетичного та кандидо</w:t>
      </w:r>
      <w:r>
        <w:rPr>
          <w:sz w:val="28"/>
          <w:szCs w:val="28"/>
          <w:shd w:val="clear" w:color="auto" w:fill="FFFFFF"/>
          <w:lang w:val="uk-UA"/>
        </w:rPr>
        <w:t>з</w:t>
      </w:r>
      <w:r>
        <w:rPr>
          <w:sz w:val="28"/>
          <w:szCs w:val="28"/>
          <w:shd w:val="clear" w:color="auto" w:fill="FFFFFF"/>
          <w:lang w:val="uk-UA"/>
        </w:rPr>
        <w:t>ного стоматиту: автореф. на здобуття наук. ступеня канд. мед. наук</w:t>
      </w:r>
      <w:r w:rsidRPr="006E07DF">
        <w:rPr>
          <w:iCs/>
          <w:color w:val="000000"/>
          <w:sz w:val="28"/>
          <w:szCs w:val="28"/>
          <w:bdr w:val="none" w:sz="0" w:space="0" w:color="auto" w:frame="1"/>
        </w:rPr>
        <w:t>/</w:t>
      </w:r>
      <w:r w:rsidRPr="001C3DF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Т.В. Томіліна – Полтава, 2004. – 20 с.</w:t>
      </w:r>
    </w:p>
    <w:p w:rsidR="00E11CAA" w:rsidRPr="001C3DFA" w:rsidRDefault="00E11CAA" w:rsidP="00E11CAA">
      <w:pPr>
        <w:pStyle w:val="af2"/>
        <w:numPr>
          <w:ilvl w:val="0"/>
          <w:numId w:val="11"/>
        </w:numPr>
        <w:spacing w:line="360" w:lineRule="auto"/>
        <w:ind w:left="786"/>
        <w:jc w:val="both"/>
        <w:textAlignment w:val="baseline"/>
        <w:rPr>
          <w:i/>
          <w:color w:val="000000"/>
          <w:sz w:val="28"/>
          <w:szCs w:val="28"/>
          <w:lang w:val="en-US"/>
        </w:rPr>
      </w:pPr>
      <w:r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E07DF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>Hay R.J. The management of superficial candidosis</w:t>
      </w:r>
      <w:r w:rsidRPr="001054DA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1054DA"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Pr="001054DA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6E07DF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>R.J.</w:t>
      </w:r>
      <w:r w:rsidRPr="001054DA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6E07DF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Hay // J. Am. </w:t>
      </w:r>
      <w:r w:rsidRPr="001C3DFA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Acad. Dermatol.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  <w:r w:rsidRPr="001C3DFA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2009.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  <w:r w:rsidRPr="001C3DFA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 Vol. 40, </w:t>
      </w:r>
      <w:r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>N</w:t>
      </w:r>
      <w:r w:rsidRPr="001C3DFA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 6.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  <w:r w:rsidRPr="001C3DFA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>P. 35-42.</w:t>
      </w:r>
    </w:p>
    <w:p w:rsidR="00E11CAA" w:rsidRPr="006E07DF" w:rsidRDefault="00E11CAA" w:rsidP="00E11CAA">
      <w:pPr>
        <w:pStyle w:val="af2"/>
        <w:numPr>
          <w:ilvl w:val="0"/>
          <w:numId w:val="11"/>
        </w:numPr>
        <w:spacing w:line="360" w:lineRule="auto"/>
        <w:ind w:left="786"/>
        <w:jc w:val="both"/>
        <w:textAlignment w:val="baseline"/>
        <w:rPr>
          <w:rStyle w:val="af5"/>
          <w:i w:val="0"/>
          <w:iCs w:val="0"/>
          <w:sz w:val="28"/>
          <w:szCs w:val="28"/>
          <w:lang w:val="en-US"/>
        </w:rPr>
      </w:pPr>
      <w:r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E07DF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>Kirkpatrick C.H. Ch</w:t>
      </w:r>
      <w:r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ronic mucocutaneous candidiasis </w:t>
      </w:r>
      <w:r w:rsidRPr="001054DA"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Pr="001054DA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6E07DF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>C.H.</w:t>
      </w:r>
      <w:r w:rsidRPr="001054DA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6E07DF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Kirkpatrick  // Pediat. Infect. Dis. J.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 2011.</w:t>
      </w:r>
      <w:r w:rsidRPr="001054D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Vol. 20.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Style w:val="af5"/>
          <w:i w:val="0"/>
          <w:color w:val="000000"/>
          <w:sz w:val="28"/>
          <w:szCs w:val="28"/>
          <w:bdr w:val="none" w:sz="0" w:space="0" w:color="auto" w:frame="1"/>
          <w:lang w:val="en-US"/>
        </w:rPr>
        <w:t>P. 197-206. 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Луницына Ю.В. Кандидоз слизистой оболочки полости рта — актуальная проблема стоматологии 21 века / Ю.В. Луницына, С.И. Токмакова // Проблемы стоматологии.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2012. 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2.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30-33.</w:t>
      </w:r>
    </w:p>
    <w:p w:rsidR="00E11CAA" w:rsidRPr="006E07DF" w:rsidRDefault="000039B6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1690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2F2F2"/>
        </w:rPr>
        <w:t xml:space="preserve"> </w:t>
      </w:r>
      <w:r w:rsidR="00E11C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Sonis</w:t>
      </w:r>
      <w:r w:rsidR="00E11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1C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S. </w:t>
      </w:r>
      <w:r w:rsidR="00E11C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Oral medicine secrets </w:t>
      </w:r>
      <w:r w:rsidR="00E11CAA" w:rsidRPr="004801A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/</w:t>
      </w:r>
      <w:r w:rsidR="00E11C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S. Sonis</w:t>
      </w:r>
      <w:r w:rsidR="00E11CAA" w:rsidRPr="004801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11CAA">
        <w:rPr>
          <w:rFonts w:ascii="Times New Roman" w:hAnsi="Times New Roman" w:cs="Times New Roman"/>
          <w:sz w:val="28"/>
          <w:szCs w:val="28"/>
          <w:lang w:val="en-US"/>
        </w:rPr>
        <w:t xml:space="preserve"> R. Fazio</w:t>
      </w:r>
      <w:r w:rsidR="00E11CAA" w:rsidRPr="004801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11CAA">
        <w:rPr>
          <w:rFonts w:ascii="Times New Roman" w:hAnsi="Times New Roman" w:cs="Times New Roman"/>
          <w:sz w:val="28"/>
          <w:szCs w:val="28"/>
          <w:lang w:val="en-US"/>
        </w:rPr>
        <w:t xml:space="preserve"> L. Fang.</w:t>
      </w:r>
      <w:r w:rsidR="00E11CAA" w:rsidRPr="003558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E11C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– Philadelphia</w:t>
      </w:r>
      <w:r w:rsidR="00E11CAA" w:rsidRPr="004801A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: </w:t>
      </w:r>
      <w:r w:rsidR="00E11C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Hanley and Belfus</w:t>
      </w:r>
      <w:r w:rsidR="00E11CAA" w:rsidRPr="004801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11C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 2003. – 309 p.</w:t>
      </w:r>
    </w:p>
    <w:p w:rsidR="00E11CAA" w:rsidRPr="00C00770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9264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Савичук</w:t>
      </w:r>
      <w:r w:rsidRPr="00C0077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264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</w:t>
      </w:r>
      <w:r w:rsidRPr="00C0077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r w:rsidRPr="009264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</w:t>
      </w:r>
      <w:r w:rsidRPr="00C0077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Діагностика та лікування найбільш поширених уражень слизової оболонки порожнини рота у дітей </w:t>
      </w:r>
      <w:r w:rsidRPr="00C00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/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 w:rsidRPr="00C00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C00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C0077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264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Савичук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00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Журнал  практ. лікаря. – 2005. - № 5. – с. 27 – 31.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hl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</w:t>
      </w:r>
      <w:r w:rsidRPr="006E07DF">
        <w:rPr>
          <w:rStyle w:val="hl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Лаптева</w:t>
      </w:r>
      <w:r w:rsidRPr="006E07DF"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О.Г. Колонизация условно-патогенными микроорганизмами полости рта при острых лейкозах / О.Г. Лаптева // Актуальные пр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блемы современной стоматологии.</w:t>
      </w:r>
      <w:r w:rsidRPr="00C007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Волгоград, 2000.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С. 124-126.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6E07DF">
        <w:rPr>
          <w:rStyle w:val="hl"/>
          <w:rFonts w:ascii="Times New Roman" w:hAnsi="Times New Roman" w:cs="Times New Roman"/>
          <w:color w:val="0D0D0D" w:themeColor="text1" w:themeTint="F2"/>
          <w:sz w:val="28"/>
          <w:szCs w:val="28"/>
        </w:rPr>
        <w:t>Любимова</w:t>
      </w:r>
      <w:r w:rsidRPr="006E07D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Л.С. Влияние полихимиотерапии на</w:t>
      </w:r>
      <w:r w:rsidRPr="006E07D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Style w:val="hl"/>
          <w:rFonts w:ascii="Times New Roman" w:hAnsi="Times New Roman" w:cs="Times New Roman"/>
          <w:color w:val="0D0D0D" w:themeColor="text1" w:themeTint="F2"/>
          <w:sz w:val="28"/>
          <w:szCs w:val="28"/>
        </w:rPr>
        <w:t>слизистую</w:t>
      </w:r>
      <w:r w:rsidRPr="006E07D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оболочку полости рта больных</w:t>
      </w:r>
      <w:r w:rsidRPr="006E07D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Style w:val="hl"/>
          <w:rFonts w:ascii="Times New Roman" w:hAnsi="Times New Roman" w:cs="Times New Roman"/>
          <w:color w:val="0D0D0D" w:themeColor="text1" w:themeTint="F2"/>
          <w:sz w:val="28"/>
          <w:szCs w:val="28"/>
        </w:rPr>
        <w:t>острыми</w:t>
      </w:r>
      <w:r w:rsidRPr="006E07D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миелобластными лейкозами / Л.С. Л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бимова, О.Г.</w:t>
      </w:r>
      <w:r w:rsidRPr="006E07D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Style w:val="hl"/>
          <w:rFonts w:ascii="Times New Roman" w:hAnsi="Times New Roman" w:cs="Times New Roman"/>
          <w:color w:val="0D0D0D" w:themeColor="text1" w:themeTint="F2"/>
          <w:sz w:val="28"/>
          <w:szCs w:val="28"/>
        </w:rPr>
        <w:t>Акопян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Г.В. Банченко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Стоматология.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2000.</w:t>
      </w:r>
      <w:r w:rsidRPr="00C007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18-22.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6E07DF">
        <w:rPr>
          <w:rStyle w:val="hl"/>
          <w:rFonts w:ascii="Times New Roman" w:hAnsi="Times New Roman" w:cs="Times New Roman"/>
          <w:color w:val="0D0D0D" w:themeColor="text1" w:themeTint="F2"/>
          <w:sz w:val="28"/>
          <w:szCs w:val="28"/>
        </w:rPr>
        <w:t>Маковская</w:t>
      </w:r>
      <w:r w:rsidRPr="006E07D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Е.А. Состояние тканей пародонта у больных лейкозами / Е.А. Маковская // Материалы научной конференции студентов и мол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дых ученых</w:t>
      </w:r>
      <w:r w:rsidRPr="006E07D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Style w:val="hl"/>
          <w:rFonts w:ascii="Times New Roman" w:hAnsi="Times New Roman" w:cs="Times New Roman"/>
          <w:color w:val="0D0D0D" w:themeColor="text1" w:themeTint="F2"/>
          <w:sz w:val="28"/>
          <w:szCs w:val="28"/>
        </w:rPr>
        <w:t>БГМУ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Уфа, 2000.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69.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hl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Недосеко</w:t>
      </w:r>
      <w:r w:rsidRPr="006E07DF"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В.Б. Заболевания слизистой оболочки полости рта, сопр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вождающиеся изменением биотопа</w:t>
      </w:r>
      <w:r w:rsidRPr="006E07DF"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Style w:val="hl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ротовой</w:t>
      </w:r>
      <w:r w:rsidRPr="006E07DF"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полости Диагностика, применение новых технологий лечения /В.Б.</w:t>
      </w:r>
      <w:r w:rsidRPr="006E07DF"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Style w:val="hl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Недосеко</w:t>
      </w:r>
      <w:r w:rsidRPr="006E07DF"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// Институт стоматологии.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2002. - №4. - С.40-47.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Луницына Ю.В. Профилактика заболеваний слизистой оболочки п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лости рта у детей / Ю.В. Луницына, В.А. Малофеева // Пробле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матологии. – 2011. – № 3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– С. 36-37.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E07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 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Токмакова С.И. Клинико-морфологическая характеристика язвенно-некротического стоматита на фоне цитостатической терапии острого лейкоза / С.И. Токмакова, Ю.В. Луницына // Сибир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нкол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журнал.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6E07DF"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E07DF"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 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2012.</w:t>
      </w:r>
      <w:r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№ 4.</w:t>
      </w:r>
      <w:r w:rsidRPr="00D23C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Style w:val="apple-converted-space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С. 30-34.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Микрофлора слизистой оболочки полости рта у пожилых лиц при общесоматической патологии / С.И. Токмакова, О.В. Бондаренко,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Л.Ю. Бутакова, Г.Г. Ефремушкин.</w:t>
      </w:r>
      <w:r w:rsidRPr="00AA1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r w:rsidRPr="00AA1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Стоматология. – 2001.</w:t>
      </w:r>
      <w:r w:rsidRPr="00AA1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 № 4.</w:t>
      </w:r>
      <w:r w:rsidRPr="00AA1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С.24-27.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Состояние слизистой оболочки полости рта у больных гемобластоз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 / С.И. Токмакова, Ю.В. Луницына, О.В. Бондаренко, О.В. Сысоева //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стоматологии. – 2006. – № 5-6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– С. 7-8.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Сергеев А.Ю. Кандидоз. Природа инфекции, механизмы агрессии и защиты, лабораторная диагностика, клиника и лечение / А.Ю.</w:t>
      </w:r>
      <w:r w:rsidRPr="00AA1573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Сергеев, Ю.В.</w:t>
      </w:r>
      <w:r w:rsidRPr="00AA1573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Москва:</w:t>
      </w:r>
      <w:r w:rsidRPr="006E07DF">
        <w:rPr>
          <w:rFonts w:ascii="Times New Roman" w:hAnsi="Times New Roman" w:cs="Times New Roman"/>
          <w:sz w:val="28"/>
          <w:szCs w:val="28"/>
        </w:rPr>
        <w:t xml:space="preserve"> Триада-Х, 2000.</w:t>
      </w:r>
      <w:r w:rsidRPr="00AA1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>470с.</w:t>
      </w:r>
    </w:p>
    <w:p w:rsidR="00E11CAA" w:rsidRPr="00AA1573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Бурова С.А. Проблемы грибковых заболеваний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 С.А.</w:t>
      </w:r>
      <w:r w:rsidRPr="00AA1573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Бурова </w:t>
      </w:r>
      <w:r>
        <w:rPr>
          <w:rFonts w:ascii="Times New Roman" w:hAnsi="Times New Roman" w:cs="Times New Roman"/>
          <w:sz w:val="28"/>
          <w:szCs w:val="28"/>
        </w:rPr>
        <w:t>// Рос.</w:t>
      </w:r>
      <w:r w:rsidRPr="006E07DF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 xml:space="preserve"> кожных и венерических болезней.</w:t>
      </w:r>
      <w:r w:rsidRPr="00AA1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A1573">
        <w:rPr>
          <w:rFonts w:ascii="Times New Roman" w:hAnsi="Times New Roman" w:cs="Times New Roman"/>
          <w:sz w:val="28"/>
          <w:szCs w:val="28"/>
        </w:rPr>
        <w:t>1998.</w:t>
      </w:r>
      <w:r w:rsidRPr="00AA1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A1573">
        <w:rPr>
          <w:rFonts w:ascii="Times New Roman" w:hAnsi="Times New Roman" w:cs="Times New Roman"/>
          <w:sz w:val="28"/>
          <w:szCs w:val="28"/>
        </w:rPr>
        <w:t xml:space="preserve"> №1.</w:t>
      </w:r>
      <w:r w:rsidRPr="00AA1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A1573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</w:t>
      </w:r>
      <w:r w:rsidRPr="00AA1573">
        <w:rPr>
          <w:rFonts w:ascii="Times New Roman" w:hAnsi="Times New Roman" w:cs="Times New Roman"/>
          <w:sz w:val="28"/>
          <w:szCs w:val="28"/>
        </w:rPr>
        <w:t>.39-41.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Hunter P.R. Morphotupe markers of virulence in human candidal infections / P.R.</w:t>
      </w:r>
      <w:r w:rsidRPr="00D34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Hunter, Ch. A.M.</w:t>
      </w:r>
      <w:r w:rsidRPr="00D348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Fräser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, D.W.R. Mackenzie //J. </w:t>
      </w:r>
      <w:r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ed.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Microbiol.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2009.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Vol. 28,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P. 85-91.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Cannon R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. Oral colonization by Candida albicans / R.</w:t>
      </w:r>
      <w:r w:rsidRPr="00D34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Cannon, W.L.</w:t>
      </w:r>
      <w:r w:rsidRPr="00D34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fin // Crit. Rev. Oral Biol. Med.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2010.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</w:t>
      </w:r>
      <w:r w:rsidRPr="00D34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 10</w:t>
      </w:r>
      <w:r w:rsidRPr="00D348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359-383.</w:t>
      </w:r>
    </w:p>
    <w:p w:rsidR="00E11CAA" w:rsidRPr="00A45EF0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EF0">
        <w:rPr>
          <w:rFonts w:ascii="Times New Roman" w:hAnsi="Times New Roman" w:cs="Times New Roman"/>
          <w:sz w:val="28"/>
          <w:szCs w:val="28"/>
          <w:lang w:val="en-US"/>
        </w:rPr>
        <w:t>Invasive infections due to Candida krusei: report of ten cases of fungemia that include three cases of endophthalmitis / D.P.</w:t>
      </w:r>
      <w:r w:rsidRPr="004D6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EF0">
        <w:rPr>
          <w:rFonts w:ascii="Times New Roman" w:hAnsi="Times New Roman" w:cs="Times New Roman"/>
          <w:sz w:val="28"/>
          <w:szCs w:val="28"/>
          <w:lang w:val="en-US"/>
        </w:rPr>
        <w:t>McQuillen, B.S.</w:t>
      </w:r>
      <w:r w:rsidRPr="004D6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EF0">
        <w:rPr>
          <w:rFonts w:ascii="Times New Roman" w:hAnsi="Times New Roman" w:cs="Times New Roman"/>
          <w:sz w:val="28"/>
          <w:szCs w:val="28"/>
          <w:lang w:val="en-US"/>
        </w:rPr>
        <w:t xml:space="preserve">Zingman, </w:t>
      </w:r>
      <w:r w:rsidRPr="00A45EF0">
        <w:rPr>
          <w:rFonts w:ascii="Times New Roman" w:hAnsi="Times New Roman" w:cs="Times New Roman"/>
          <w:sz w:val="28"/>
          <w:szCs w:val="28"/>
          <w:lang w:val="de-DE"/>
        </w:rPr>
        <w:t>F.</w:t>
      </w:r>
      <w:r w:rsidRPr="004D63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45EF0">
        <w:rPr>
          <w:rFonts w:ascii="Times New Roman" w:hAnsi="Times New Roman" w:cs="Times New Roman"/>
          <w:sz w:val="28"/>
          <w:szCs w:val="28"/>
          <w:lang w:val="de-DE"/>
        </w:rPr>
        <w:t xml:space="preserve">Meunier, </w:t>
      </w:r>
      <w:r w:rsidRPr="00A45EF0">
        <w:rPr>
          <w:rFonts w:ascii="Times New Roman" w:hAnsi="Times New Roman" w:cs="Times New Roman"/>
          <w:sz w:val="28"/>
          <w:szCs w:val="28"/>
          <w:lang w:val="en-US"/>
        </w:rPr>
        <w:t>S.M.</w:t>
      </w:r>
      <w:r w:rsidRPr="004D6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EF0">
        <w:rPr>
          <w:rFonts w:ascii="Times New Roman" w:hAnsi="Times New Roman" w:cs="Times New Roman"/>
          <w:sz w:val="28"/>
          <w:szCs w:val="28"/>
          <w:lang w:val="en-US"/>
        </w:rPr>
        <w:t>Levitz // Clin. Infect. Dis.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2012</w:t>
      </w:r>
      <w:r w:rsidRPr="00D348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Pr="00D348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A45EF0">
        <w:rPr>
          <w:rFonts w:ascii="Times New Roman" w:hAnsi="Times New Roman" w:cs="Times New Roman"/>
          <w:sz w:val="28"/>
          <w:szCs w:val="28"/>
          <w:lang w:val="en-US"/>
        </w:rPr>
        <w:t>472-478.</w:t>
      </w:r>
    </w:p>
    <w:p w:rsidR="00E11CAA" w:rsidRPr="00C06268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Stendrup A. Oral Mycology</w:t>
      </w:r>
      <w:r w:rsidRPr="00C06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EF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C06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Stendrup //Acta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dontol. Scand</w:t>
      </w:r>
      <w:r w:rsidRPr="00C06268">
        <w:rPr>
          <w:rFonts w:ascii="Times New Roman" w:hAnsi="Times New Roman" w:cs="Times New Roman"/>
          <w:sz w:val="28"/>
          <w:szCs w:val="28"/>
        </w:rPr>
        <w:t>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268">
        <w:rPr>
          <w:rFonts w:ascii="Times New Roman" w:hAnsi="Times New Roman" w:cs="Times New Roman"/>
          <w:sz w:val="28"/>
          <w:szCs w:val="28"/>
        </w:rPr>
        <w:t>2003.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C0626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C06268">
        <w:rPr>
          <w:rFonts w:ascii="Times New Roman" w:hAnsi="Times New Roman" w:cs="Times New Roman"/>
          <w:sz w:val="28"/>
          <w:szCs w:val="28"/>
        </w:rPr>
        <w:t>. 48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–</w:t>
      </w:r>
      <w:r w:rsidRPr="00C06268">
        <w:rPr>
          <w:rFonts w:ascii="Times New Roman" w:hAnsi="Times New Roman" w:cs="Times New Roman"/>
          <w:sz w:val="28"/>
          <w:szCs w:val="28"/>
        </w:rPr>
        <w:t xml:space="preserve"> </w:t>
      </w:r>
      <w:r w:rsidRPr="00EF37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6268">
        <w:rPr>
          <w:rFonts w:ascii="Times New Roman" w:hAnsi="Times New Roman" w:cs="Times New Roman"/>
          <w:sz w:val="28"/>
          <w:szCs w:val="28"/>
        </w:rPr>
        <w:t>1.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34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268">
        <w:rPr>
          <w:rFonts w:ascii="Times New Roman" w:hAnsi="Times New Roman" w:cs="Times New Roman"/>
          <w:sz w:val="28"/>
          <w:szCs w:val="28"/>
        </w:rPr>
        <w:t>. 3-10.</w:t>
      </w:r>
    </w:p>
    <w:p w:rsidR="00E11CAA" w:rsidRPr="00C06268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26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Сидельникова</w:t>
      </w:r>
      <w:r w:rsidRPr="00C0626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</w:t>
      </w:r>
      <w:r w:rsidRPr="00C06268"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>Ф</w:t>
      </w:r>
      <w:r w:rsidRPr="00C06268">
        <w:rPr>
          <w:rFonts w:ascii="Times New Roman" w:hAnsi="Times New Roman" w:cs="Times New Roman"/>
          <w:sz w:val="28"/>
          <w:szCs w:val="28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>Грибковые</w:t>
      </w:r>
      <w:r w:rsidRPr="00C0626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поражения</w:t>
      </w:r>
      <w:r w:rsidRPr="00C0626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СОПР</w:t>
      </w:r>
      <w:r w:rsidRPr="00C06268">
        <w:rPr>
          <w:rFonts w:ascii="Times New Roman" w:hAnsi="Times New Roman" w:cs="Times New Roman"/>
          <w:sz w:val="28"/>
          <w:szCs w:val="28"/>
        </w:rPr>
        <w:t xml:space="preserve">: </w:t>
      </w:r>
      <w:r w:rsidRPr="006E07DF">
        <w:rPr>
          <w:rFonts w:ascii="Times New Roman" w:hAnsi="Times New Roman" w:cs="Times New Roman"/>
          <w:sz w:val="28"/>
          <w:szCs w:val="28"/>
        </w:rPr>
        <w:t>критерии диагн</w:t>
      </w:r>
      <w:r w:rsidRPr="006E07DF">
        <w:rPr>
          <w:rFonts w:ascii="Times New Roman" w:hAnsi="Times New Roman" w:cs="Times New Roman"/>
          <w:sz w:val="28"/>
          <w:szCs w:val="28"/>
        </w:rPr>
        <w:t>о</w:t>
      </w:r>
      <w:r w:rsidRPr="006E07DF">
        <w:rPr>
          <w:rFonts w:ascii="Times New Roman" w:hAnsi="Times New Roman" w:cs="Times New Roman"/>
          <w:sz w:val="28"/>
          <w:szCs w:val="28"/>
        </w:rPr>
        <w:t>стики, современные отечественные и зарубежные с</w:t>
      </w:r>
      <w:r>
        <w:rPr>
          <w:rFonts w:ascii="Times New Roman" w:hAnsi="Times New Roman" w:cs="Times New Roman"/>
          <w:sz w:val="28"/>
          <w:szCs w:val="28"/>
        </w:rPr>
        <w:t>редства в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плексном лечении / </w:t>
      </w:r>
      <w:r w:rsidRPr="006E07DF">
        <w:rPr>
          <w:rFonts w:ascii="Times New Roman" w:hAnsi="Times New Roman" w:cs="Times New Roman"/>
          <w:sz w:val="28"/>
          <w:szCs w:val="28"/>
        </w:rPr>
        <w:t>Л.Ф.</w:t>
      </w:r>
      <w:r w:rsidRPr="00C0626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Сидельникова, М.Б.</w:t>
      </w:r>
      <w:r w:rsidRPr="00C0626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Лукашевич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Соврем</w:t>
      </w:r>
      <w:r>
        <w:rPr>
          <w:rFonts w:ascii="Times New Roman" w:hAnsi="Times New Roman" w:cs="Times New Roman"/>
          <w:sz w:val="28"/>
          <w:szCs w:val="28"/>
        </w:rPr>
        <w:t>. Стоматология</w:t>
      </w:r>
      <w:r w:rsidRPr="00C062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268">
        <w:rPr>
          <w:rFonts w:ascii="Times New Roman" w:hAnsi="Times New Roman" w:cs="Times New Roman"/>
          <w:sz w:val="28"/>
          <w:szCs w:val="28"/>
          <w:lang w:val="en-US"/>
        </w:rPr>
        <w:t xml:space="preserve"> 2001.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268">
        <w:rPr>
          <w:rFonts w:ascii="Times New Roman" w:hAnsi="Times New Roman" w:cs="Times New Roman"/>
          <w:sz w:val="28"/>
          <w:szCs w:val="28"/>
          <w:lang w:val="en-US"/>
        </w:rPr>
        <w:t>№2.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</w:t>
      </w:r>
      <w:r w:rsidRPr="00C06268">
        <w:rPr>
          <w:rFonts w:ascii="Times New Roman" w:hAnsi="Times New Roman" w:cs="Times New Roman"/>
          <w:sz w:val="28"/>
          <w:szCs w:val="28"/>
          <w:lang w:val="en-US"/>
        </w:rPr>
        <w:t>.46-50.</w:t>
      </w:r>
    </w:p>
    <w:p w:rsidR="00E11CAA" w:rsidRPr="00C06268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Coogregation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06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Candida dubliniensis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06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Fusobacterium nucleatum / </w:t>
      </w:r>
      <w:r w:rsidRPr="006E07DF">
        <w:rPr>
          <w:rFonts w:ascii="Times New Roman" w:hAnsi="Times New Roman" w:cs="Times New Roman"/>
          <w:sz w:val="28"/>
          <w:szCs w:val="28"/>
        </w:rPr>
        <w:t>М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>А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Jabra-Rizk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, W. A.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Falkler</w:t>
      </w:r>
      <w:r w:rsidRPr="00C0626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W.G</w:t>
      </w:r>
      <w:r w:rsidRPr="00C062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Meerz </w:t>
      </w:r>
      <w:r>
        <w:rPr>
          <w:rFonts w:ascii="Times New Roman" w:hAnsi="Times New Roman" w:cs="Times New Roman"/>
          <w:sz w:val="28"/>
          <w:szCs w:val="28"/>
          <w:lang w:val="de-DE"/>
        </w:rPr>
        <w:t>[et al.]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. // </w:t>
      </w:r>
      <w:r w:rsidRPr="006E07DF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Clin. 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>Microbiol.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–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2009.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–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Vol. 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37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– N</w:t>
      </w:r>
      <w:r>
        <w:rPr>
          <w:rFonts w:ascii="Times New Roman" w:hAnsi="Times New Roman" w:cs="Times New Roman"/>
          <w:sz w:val="28"/>
          <w:szCs w:val="28"/>
          <w:lang w:val="de-DE"/>
        </w:rPr>
        <w:t>5.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F2255">
        <w:rPr>
          <w:rFonts w:ascii="Times New Roman" w:hAnsi="Times New Roman" w:cs="Times New Roman"/>
          <w:sz w:val="28"/>
          <w:szCs w:val="28"/>
          <w:lang w:val="de-DE"/>
        </w:rPr>
        <w:t>1464-8.</w:t>
      </w:r>
    </w:p>
    <w:p w:rsidR="00E11CAA" w:rsidRPr="00C06268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Хмельницкий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O.K. </w:t>
      </w:r>
      <w:r w:rsidRPr="006E07DF">
        <w:rPr>
          <w:rFonts w:ascii="Times New Roman" w:hAnsi="Times New Roman" w:cs="Times New Roman"/>
          <w:sz w:val="28"/>
          <w:szCs w:val="28"/>
        </w:rPr>
        <w:t>О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кандидозе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слизистых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оболочек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/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O.K.</w:t>
      </w:r>
      <w:r w:rsidRPr="00C0626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Хмел</w:t>
      </w:r>
      <w:r w:rsidRPr="006E07DF">
        <w:rPr>
          <w:rFonts w:ascii="Times New Roman" w:hAnsi="Times New Roman" w:cs="Times New Roman"/>
          <w:sz w:val="28"/>
          <w:szCs w:val="28"/>
        </w:rPr>
        <w:t>ь</w:t>
      </w:r>
      <w:r w:rsidRPr="006E07DF">
        <w:rPr>
          <w:rFonts w:ascii="Times New Roman" w:hAnsi="Times New Roman" w:cs="Times New Roman"/>
          <w:sz w:val="28"/>
          <w:szCs w:val="28"/>
        </w:rPr>
        <w:t>ницкий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>//</w:t>
      </w:r>
      <w:r w:rsidRPr="006E07DF">
        <w:rPr>
          <w:rFonts w:ascii="Times New Roman" w:hAnsi="Times New Roman" w:cs="Times New Roman"/>
          <w:sz w:val="28"/>
          <w:szCs w:val="28"/>
        </w:rPr>
        <w:t>Архив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патологии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– 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>2000.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– </w:t>
      </w:r>
      <w:r w:rsidRPr="006E07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№6.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– 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>.3-10.</w:t>
      </w:r>
    </w:p>
    <w:p w:rsidR="00E11CAA" w:rsidRPr="005E1136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Ancarani F. </w:t>
      </w:r>
      <w:r w:rsidRPr="00C06268">
        <w:rPr>
          <w:rFonts w:ascii="Times New Roman" w:hAnsi="Times New Roman" w:cs="Times New Roman"/>
          <w:sz w:val="28"/>
          <w:szCs w:val="28"/>
          <w:lang w:val="de-DE"/>
        </w:rPr>
        <w:t>Incidence and Prev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alence of Candida Non-aibicans in Oral Candida Infections</w:t>
      </w:r>
      <w:r w:rsidRPr="005E1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1136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/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F.</w:t>
      </w:r>
      <w:r w:rsidRPr="005E113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Ancarani </w:t>
      </w:r>
      <w:r w:rsidRPr="005E1136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//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Clinician</w:t>
      </w:r>
      <w:r w:rsidRPr="005E11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E1136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r w:rsidRPr="005E11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E1136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 –</w:t>
      </w:r>
      <w:r w:rsidRPr="005E1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C0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  <w:r w:rsidRPr="005E11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E1136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–</w:t>
      </w:r>
      <w:r w:rsidRPr="00272586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</w:t>
      </w:r>
      <w:r w:rsidRPr="005E1136">
        <w:rPr>
          <w:rFonts w:ascii="Times New Roman" w:hAnsi="Times New Roman" w:cs="Times New Roman"/>
          <w:sz w:val="28"/>
          <w:szCs w:val="28"/>
          <w:lang w:val="en-US"/>
        </w:rPr>
        <w:t>.6-9.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188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>Гажва С.И. Состояние местного иммунитета полости рта у бол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ных острыми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лейкозами / С.И Гажва, Н.И.Толкачева // Нижегородский мед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журнал. </w:t>
      </w:r>
      <w:r w:rsidRPr="00272586">
        <w:rPr>
          <w:rFonts w:ascii="Times New Roman" w:eastAsiaTheme="minorHAnsi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2003. </w:t>
      </w:r>
      <w:r w:rsidRPr="00272586">
        <w:rPr>
          <w:rFonts w:ascii="Times New Roman" w:eastAsiaTheme="minorHAns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ение: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Стоматология. </w:t>
      </w:r>
      <w:r w:rsidRPr="00272586">
        <w:rPr>
          <w:rFonts w:ascii="Times New Roman" w:eastAsiaTheme="minorHAnsi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>С. 103 – 105.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78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Луницына Ю.В. Факторы местного иммунитета при воспалительно-деструктивных заболеваниях слизистой оболочки полости рта / Ю.В. Луницына // Дентал Юг. – 2011. – № 3(87)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 С. 34-35.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Особенности иммунной системы у больных лейкозами после тран</w:t>
      </w:r>
      <w:r w:rsidRPr="006E07DF">
        <w:rPr>
          <w:rFonts w:ascii="Times New Roman" w:hAnsi="Times New Roman" w:cs="Times New Roman"/>
          <w:sz w:val="28"/>
          <w:szCs w:val="28"/>
        </w:rPr>
        <w:t>с</w:t>
      </w:r>
      <w:r w:rsidRPr="006E07DF">
        <w:rPr>
          <w:rFonts w:ascii="Times New Roman" w:hAnsi="Times New Roman" w:cs="Times New Roman"/>
          <w:sz w:val="28"/>
          <w:szCs w:val="28"/>
        </w:rPr>
        <w:t>плантации аллогенного костного мозга / Т.И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>Булычева, А.П.</w:t>
      </w:r>
      <w:r w:rsidRPr="0014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>Шпакова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07DF">
        <w:rPr>
          <w:rFonts w:ascii="Times New Roman" w:hAnsi="Times New Roman" w:cs="Times New Roman"/>
          <w:sz w:val="28"/>
          <w:szCs w:val="28"/>
        </w:rPr>
        <w:t xml:space="preserve"> В.Н.</w:t>
      </w:r>
      <w:r w:rsidRPr="00141A9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Дронова</w:t>
      </w:r>
      <w:r w:rsidRPr="00141A9A">
        <w:rPr>
          <w:rFonts w:ascii="Times New Roman" w:hAnsi="Times New Roman" w:cs="Times New Roman"/>
          <w:sz w:val="28"/>
          <w:szCs w:val="28"/>
        </w:rPr>
        <w:t xml:space="preserve"> [</w:t>
      </w:r>
      <w:r w:rsidRPr="006E07D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41A9A">
        <w:rPr>
          <w:rFonts w:ascii="Times New Roman" w:hAnsi="Times New Roman" w:cs="Times New Roman"/>
          <w:sz w:val="28"/>
          <w:szCs w:val="28"/>
        </w:rPr>
        <w:t>]</w:t>
      </w:r>
      <w:r w:rsidRPr="006E07DF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Иммунология.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2000.</w:t>
      </w:r>
      <w:r w:rsidRPr="00141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№5.</w:t>
      </w:r>
      <w:r w:rsidRPr="00141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С.46-52.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Дранник Г.Н. Клиниче</w:t>
      </w:r>
      <w:r>
        <w:rPr>
          <w:rFonts w:ascii="Times New Roman" w:hAnsi="Times New Roman" w:cs="Times New Roman"/>
          <w:sz w:val="28"/>
          <w:szCs w:val="28"/>
        </w:rPr>
        <w:t xml:space="preserve">ская иммунология и аллергология </w:t>
      </w:r>
      <w:r w:rsidRPr="006E07DF">
        <w:rPr>
          <w:rFonts w:ascii="Times New Roman" w:hAnsi="Times New Roman" w:cs="Times New Roman"/>
          <w:sz w:val="28"/>
          <w:szCs w:val="28"/>
        </w:rPr>
        <w:t>/ Г.Н.</w:t>
      </w:r>
      <w:r w:rsidRPr="00141A9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Дра</w:t>
      </w:r>
      <w:r w:rsidRPr="006E07DF">
        <w:rPr>
          <w:rFonts w:ascii="Times New Roman" w:hAnsi="Times New Roman" w:cs="Times New Roman"/>
          <w:sz w:val="28"/>
          <w:szCs w:val="28"/>
        </w:rPr>
        <w:t>н</w:t>
      </w:r>
      <w:r w:rsidRPr="006E07DF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Одесса, 1999.</w:t>
      </w:r>
      <w:r w:rsidRPr="00141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603с.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Лолора Г. Клиническая иммунология и аллергология / Г.</w:t>
      </w:r>
      <w:r w:rsidRPr="00141A9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Лолора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07D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 ред. Т. Фишера, Д. Адельмана.</w:t>
      </w:r>
      <w:r w:rsidRPr="00070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Москва, 2000.</w:t>
      </w:r>
      <w:r w:rsidRPr="00070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806с.</w:t>
      </w:r>
    </w:p>
    <w:p w:rsidR="00E11CAA" w:rsidRPr="00BE0ED1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en-US"/>
        </w:rPr>
        <w:t>Felix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en-US"/>
        </w:rPr>
        <w:t>Leukemia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en-US"/>
        </w:rPr>
        <w:t>infants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en-US"/>
        </w:rPr>
        <w:t>Felix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en-US"/>
        </w:rPr>
        <w:t>Lange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en-US"/>
        </w:rPr>
        <w:t>Oncologist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–2009.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–N 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4.–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0ED1">
        <w:rPr>
          <w:rFonts w:ascii="Times New Roman" w:hAnsi="Times New Roman" w:cs="Times New Roman"/>
          <w:color w:val="000000"/>
          <w:sz w:val="28"/>
          <w:szCs w:val="28"/>
          <w:lang w:val="en-US"/>
        </w:rPr>
        <w:t>. 25-27.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0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Камышников В.С. Онкомаркеры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В.С. Камышников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Москва: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пресс-информ, 2011.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128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782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>Постнова И.В. Диагностика онкологических заболеваний,  проявля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>ю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>щихся на слизистой оболочке полости рта 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E0ED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>И.В.</w:t>
      </w:r>
      <w:r w:rsidRPr="00BE0ED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Постнова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>// Матер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алы VIII-IX Всероссийской науч..практ.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конф.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Москва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2002.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eastAsiaTheme="minorHAnsi" w:hAnsi="Times New Roman" w:cs="Times New Roman"/>
          <w:color w:val="000000"/>
          <w:sz w:val="28"/>
          <w:szCs w:val="28"/>
        </w:rPr>
        <w:t>С. 104-106.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Кулаков В.В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Изучение цитостатической и цитотоксической активн</w:t>
      </w:r>
      <w:r w:rsidRPr="006E07DF">
        <w:rPr>
          <w:rFonts w:ascii="Times New Roman" w:hAnsi="Times New Roman" w:cs="Times New Roman"/>
          <w:sz w:val="28"/>
          <w:szCs w:val="28"/>
        </w:rPr>
        <w:t>о</w:t>
      </w:r>
      <w:r w:rsidRPr="006E07DF">
        <w:rPr>
          <w:rFonts w:ascii="Times New Roman" w:hAnsi="Times New Roman" w:cs="Times New Roman"/>
          <w:sz w:val="28"/>
          <w:szCs w:val="28"/>
        </w:rPr>
        <w:t>сти нейтрофилов периферической крови человека /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0ED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Кулаков, Н.В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0ED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Воробьева, Б.В. Пинегин // </w:t>
      </w:r>
      <w:r>
        <w:rPr>
          <w:rFonts w:ascii="Times New Roman" w:hAnsi="Times New Roman" w:cs="Times New Roman"/>
          <w:sz w:val="28"/>
          <w:szCs w:val="28"/>
        </w:rPr>
        <w:t>Иммунология.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1997.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6E07DF">
        <w:rPr>
          <w:rFonts w:ascii="Times New Roman" w:hAnsi="Times New Roman" w:cs="Times New Roman"/>
          <w:sz w:val="28"/>
          <w:szCs w:val="28"/>
        </w:rPr>
        <w:t>№4.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6E07DF">
        <w:rPr>
          <w:rFonts w:ascii="Times New Roman" w:hAnsi="Times New Roman" w:cs="Times New Roman"/>
          <w:sz w:val="28"/>
          <w:szCs w:val="28"/>
        </w:rPr>
        <w:t>С. 19-20.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Петров Р.В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Иммунодиагностика иммунодефицитов / Р.В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2B7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Петров, П.М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2B7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Хаитов, Б.В.</w:t>
      </w:r>
      <w:r w:rsidRPr="00272B7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Пинегин</w:t>
      </w:r>
      <w:r>
        <w:rPr>
          <w:rFonts w:ascii="Times New Roman" w:hAnsi="Times New Roman" w:cs="Times New Roman"/>
          <w:sz w:val="28"/>
          <w:szCs w:val="28"/>
        </w:rPr>
        <w:t xml:space="preserve"> //Иммунология.</w:t>
      </w:r>
      <w:r w:rsidRPr="0027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1997.</w:t>
      </w:r>
      <w:r w:rsidRPr="0027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№4.</w:t>
      </w:r>
      <w:r w:rsidRPr="0027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С.4-7.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Ройт А. Иммунология /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>Ройт, Дж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>Бростофф, Д</w:t>
      </w:r>
      <w:r w:rsidRPr="007970B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Мейл.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Москва</w:t>
      </w:r>
      <w:r w:rsidRPr="006E07DF">
        <w:rPr>
          <w:rFonts w:ascii="Times New Roman" w:hAnsi="Times New Roman" w:cs="Times New Roman"/>
          <w:sz w:val="28"/>
          <w:szCs w:val="28"/>
        </w:rPr>
        <w:t xml:space="preserve"> :Мир, 2000.</w:t>
      </w:r>
      <w:r w:rsidRPr="00797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582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Коляденко В. Г. 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 xml:space="preserve">Імунологічні показники </w:t>
      </w:r>
      <w:r w:rsidRPr="006E07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крові </w:t>
      </w:r>
      <w:r w:rsidRPr="006E07DF">
        <w:rPr>
          <w:rFonts w:ascii="Times New Roman" w:hAnsi="Times New Roman" w:cs="Times New Roman"/>
          <w:sz w:val="28"/>
          <w:szCs w:val="28"/>
          <w:lang w:eastAsia="uk-UA"/>
        </w:rPr>
        <w:t xml:space="preserve">при </w:t>
      </w:r>
      <w:r w:rsidRPr="006E07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кандидозах / </w:t>
      </w:r>
      <w:r w:rsidRPr="006E07DF">
        <w:rPr>
          <w:rFonts w:ascii="Times New Roman" w:hAnsi="Times New Roman" w:cs="Times New Roman"/>
          <w:sz w:val="28"/>
          <w:szCs w:val="28"/>
        </w:rPr>
        <w:t>В.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0B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Коляденко, С.А.</w:t>
      </w:r>
      <w:r w:rsidRPr="007970B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Туркевич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// </w:t>
      </w:r>
      <w:r w:rsidRPr="006E07DF">
        <w:rPr>
          <w:rFonts w:ascii="Times New Roman" w:hAnsi="Times New Roman" w:cs="Times New Roman"/>
          <w:sz w:val="28"/>
          <w:szCs w:val="28"/>
          <w:lang w:val="uk-UA" w:eastAsia="uk-UA"/>
        </w:rPr>
        <w:t>Укр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журнал дерматол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огії, венерології, косметології.</w:t>
      </w:r>
      <w:r w:rsidRPr="006E07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eastAsia="uk-UA"/>
        </w:rPr>
        <w:t>2003.</w:t>
      </w:r>
      <w:r w:rsidRPr="00797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uk-UA" w:eastAsia="uk-UA"/>
        </w:rPr>
        <w:t>№2</w:t>
      </w:r>
      <w:r w:rsidRPr="006E07D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797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6E07DF">
        <w:rPr>
          <w:rFonts w:ascii="Times New Roman" w:hAnsi="Times New Roman" w:cs="Times New Roman"/>
          <w:sz w:val="28"/>
          <w:szCs w:val="28"/>
          <w:lang w:eastAsia="uk-UA"/>
        </w:rPr>
        <w:t>.-5-9.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Белякова И.М. Иммунная система слизистых /</w:t>
      </w:r>
      <w:r w:rsidRPr="007970B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И.М. Белякова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// И</w:t>
      </w:r>
      <w:r w:rsidRPr="006E07DF">
        <w:rPr>
          <w:rFonts w:ascii="Times New Roman" w:hAnsi="Times New Roman" w:cs="Times New Roman"/>
          <w:sz w:val="28"/>
          <w:szCs w:val="28"/>
        </w:rPr>
        <w:t>м</w:t>
      </w:r>
      <w:r w:rsidRPr="006E07DF">
        <w:rPr>
          <w:rFonts w:ascii="Times New Roman" w:hAnsi="Times New Roman" w:cs="Times New Roman"/>
          <w:sz w:val="28"/>
          <w:szCs w:val="28"/>
        </w:rPr>
        <w:t>мунология.</w:t>
      </w:r>
      <w:r w:rsidRPr="00797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1997.</w:t>
      </w:r>
      <w:r w:rsidRPr="00797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№4.</w:t>
      </w:r>
      <w:r w:rsidRPr="00797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С.7-13.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Иммунодефицитные состояния /</w:t>
      </w:r>
      <w:r>
        <w:rPr>
          <w:rFonts w:ascii="Times New Roman" w:hAnsi="Times New Roman" w:cs="Times New Roman"/>
          <w:sz w:val="28"/>
          <w:szCs w:val="28"/>
        </w:rPr>
        <w:t xml:space="preserve"> ред.: проф.</w:t>
      </w:r>
      <w:r w:rsidRPr="006E07DF">
        <w:rPr>
          <w:rFonts w:ascii="Times New Roman" w:hAnsi="Times New Roman" w:cs="Times New Roman"/>
          <w:sz w:val="28"/>
          <w:szCs w:val="28"/>
        </w:rPr>
        <w:t xml:space="preserve"> B.C.</w:t>
      </w:r>
      <w:r w:rsidRPr="007970B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и проф.</w:t>
      </w:r>
      <w:r w:rsidRPr="006E07DF">
        <w:rPr>
          <w:rFonts w:ascii="Times New Roman" w:hAnsi="Times New Roman" w:cs="Times New Roman"/>
          <w:sz w:val="28"/>
          <w:szCs w:val="28"/>
        </w:rPr>
        <w:t xml:space="preserve"> И.С.</w:t>
      </w:r>
      <w:r w:rsidRPr="007970B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Фрейдлин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СПб.</w:t>
      </w:r>
      <w:r>
        <w:rPr>
          <w:rFonts w:ascii="Times New Roman" w:hAnsi="Times New Roman" w:cs="Times New Roman"/>
          <w:sz w:val="28"/>
          <w:szCs w:val="28"/>
        </w:rPr>
        <w:t>: Фолиант</w:t>
      </w:r>
      <w:r w:rsidRPr="006E07DF">
        <w:rPr>
          <w:rFonts w:ascii="Times New Roman" w:hAnsi="Times New Roman" w:cs="Times New Roman"/>
          <w:sz w:val="28"/>
          <w:szCs w:val="28"/>
        </w:rPr>
        <w:t>, 2000.</w:t>
      </w:r>
      <w:r w:rsidRPr="00797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568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гих В.Т. Основы иммунопатологии </w:t>
      </w:r>
      <w:r w:rsidRPr="006E07D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В.Т.</w:t>
      </w:r>
      <w:r w:rsidRPr="007970B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гих.</w:t>
      </w:r>
      <w:r w:rsidRPr="00797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6E07DF">
        <w:rPr>
          <w:rFonts w:ascii="Times New Roman" w:hAnsi="Times New Roman" w:cs="Times New Roman"/>
          <w:sz w:val="28"/>
          <w:szCs w:val="28"/>
        </w:rPr>
        <w:t>, 2000.</w:t>
      </w:r>
      <w:r w:rsidRPr="00797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202с.</w:t>
      </w:r>
    </w:p>
    <w:p w:rsidR="00E11CAA" w:rsidRPr="00894454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782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894454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Попов Е.А. </w:t>
      </w:r>
      <w:r w:rsidRPr="00894454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894454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Острый лейкоз: учеб.</w:t>
      </w:r>
      <w:r w:rsidR="00513E8D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 пособие</w:t>
      </w:r>
      <w:r w:rsidR="00894454" w:rsidRPr="00894454">
        <w:rPr>
          <w:rFonts w:ascii="Times New Roman" w:hAnsi="Times New Roman" w:cs="Times New Roman"/>
          <w:sz w:val="28"/>
          <w:szCs w:val="28"/>
        </w:rPr>
        <w:t xml:space="preserve"> </w:t>
      </w:r>
      <w:r w:rsidR="00894454" w:rsidRPr="006E07DF">
        <w:rPr>
          <w:rFonts w:ascii="Times New Roman" w:hAnsi="Times New Roman" w:cs="Times New Roman"/>
          <w:sz w:val="28"/>
          <w:szCs w:val="28"/>
        </w:rPr>
        <w:t>/</w:t>
      </w:r>
      <w:r w:rsidRPr="00894454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894454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Е.А. Попов, Б.Н. Левитан, Л.В. Закляко</w:t>
      </w:r>
      <w:r w:rsidR="00513E8D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ва. – Астрахань: АГМА,</w:t>
      </w:r>
      <w:r w:rsidRPr="00894454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 200</w:t>
      </w:r>
      <w:r w:rsidR="00513E8D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7. – 5</w:t>
      </w:r>
      <w:r w:rsidRPr="00894454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6</w:t>
      </w:r>
      <w:r w:rsidR="00513E8D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 с</w:t>
      </w:r>
      <w:r w:rsidRPr="00894454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78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570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Савченко В.Г.  Острый промиелоцитарный лейкоз</w:t>
      </w:r>
      <w:r w:rsidR="0055706A"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</w:t>
      </w:r>
      <w:r w:rsidR="005570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В.Г.Савченко, Е.Н. Паровичникова. – </w:t>
      </w:r>
      <w:r w:rsidR="0055706A" w:rsidRPr="007144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Литтера, 2010. – 216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78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Болезни крови в амбулаторной практике: руководство / И.Л.</w:t>
      </w:r>
      <w:r w:rsidRPr="005F60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Давы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кин, И.В.</w:t>
      </w:r>
      <w:r w:rsidRPr="005F60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Куртов, Р.К. Хайретдинов </w:t>
      </w:r>
      <w:r w:rsidRPr="005F60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др.</w:t>
      </w:r>
      <w:r w:rsidRPr="005F60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5F6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Москва: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Практ медиц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6E0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на, 2011. – 35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Стефани Д.В. Иммунология и иммунопатология детского возраста / Д.В.</w:t>
      </w:r>
      <w:r w:rsidRPr="00313F5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Стефани, Ю.Е. Вельтищев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3F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Москва:</w:t>
      </w:r>
      <w:r w:rsidRPr="006E07DF">
        <w:rPr>
          <w:rFonts w:ascii="Times New Roman" w:hAnsi="Times New Roman" w:cs="Times New Roman"/>
          <w:sz w:val="28"/>
          <w:szCs w:val="28"/>
        </w:rPr>
        <w:t xml:space="preserve"> Медицина, 2000.</w:t>
      </w:r>
      <w:r w:rsidRPr="0031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354с.</w:t>
      </w:r>
    </w:p>
    <w:p w:rsidR="00E11CAA" w:rsidRPr="00313F5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313F5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Clesson </w:t>
      </w:r>
      <w:r w:rsidRPr="006E07DF">
        <w:rPr>
          <w:rFonts w:ascii="Times New Roman" w:hAnsi="Times New Roman" w:cs="Times New Roman"/>
          <w:sz w:val="28"/>
          <w:szCs w:val="28"/>
        </w:rPr>
        <w:t>М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. Modifiers of human mucosal immune system / </w:t>
      </w:r>
      <w:r w:rsidRPr="006E07DF">
        <w:rPr>
          <w:rFonts w:ascii="Times New Roman" w:hAnsi="Times New Roman" w:cs="Times New Roman"/>
          <w:sz w:val="28"/>
          <w:szCs w:val="28"/>
        </w:rPr>
        <w:t>М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3F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Clesson, </w:t>
      </w:r>
      <w:r w:rsidRPr="006E07DF">
        <w:rPr>
          <w:rFonts w:ascii="Times New Roman" w:hAnsi="Times New Roman" w:cs="Times New Roman"/>
          <w:sz w:val="28"/>
          <w:szCs w:val="28"/>
        </w:rPr>
        <w:t>А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.V.</w:t>
      </w:r>
      <w:r w:rsidRPr="00313F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Cripps, R.L.</w:t>
      </w:r>
      <w:r w:rsidRPr="00313F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Clancy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313F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Immunol</w:t>
      </w:r>
      <w:r w:rsidRPr="00313F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Cell</w:t>
      </w:r>
      <w:r w:rsidRPr="00313F5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Biolog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F5F">
        <w:rPr>
          <w:rFonts w:ascii="Times New Roman" w:hAnsi="Times New Roman" w:cs="Times New Roman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3F5F">
        <w:rPr>
          <w:rFonts w:ascii="Times New Roman" w:hAnsi="Times New Roman" w:cs="Times New Roman"/>
          <w:sz w:val="28"/>
          <w:szCs w:val="28"/>
        </w:rPr>
        <w:t>2013.</w:t>
      </w:r>
      <w:r w:rsidRPr="0031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3F5F">
        <w:rPr>
          <w:rFonts w:ascii="Times New Roman" w:hAnsi="Times New Roman" w:cs="Times New Roman"/>
          <w:sz w:val="28"/>
          <w:szCs w:val="28"/>
        </w:rPr>
        <w:t>№4.</w:t>
      </w:r>
      <w:r w:rsidRPr="0031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13F5F">
        <w:rPr>
          <w:rFonts w:ascii="Times New Roman" w:hAnsi="Times New Roman" w:cs="Times New Roman"/>
          <w:sz w:val="28"/>
          <w:szCs w:val="28"/>
        </w:rPr>
        <w:t>. 397-404.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Style w:val="nu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3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Лепилин А.В. Особенности клинико-иммунологического статуса п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лости рта у больных с лимфомами / А.В.</w:t>
      </w:r>
      <w:r w:rsidRPr="00313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Лепилин, Т.В.</w:t>
      </w:r>
      <w:r w:rsidRPr="00313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Кириллова, Н.Л.</w:t>
      </w:r>
      <w:r w:rsidRPr="00313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Ерокина // </w:t>
      </w:r>
      <w:r w:rsidRPr="006E07DF">
        <w:rPr>
          <w:rFonts w:ascii="Times New Roman" w:eastAsia="Times New Roman" w:hAnsi="Times New Roman" w:cs="Times New Roman"/>
          <w:sz w:val="28"/>
          <w:szCs w:val="28"/>
        </w:rPr>
        <w:t>Саратовский мед</w:t>
      </w:r>
      <w:r>
        <w:rPr>
          <w:rFonts w:ascii="Times New Roman" w:eastAsia="Times New Roman" w:hAnsi="Times New Roman" w:cs="Times New Roman"/>
          <w:sz w:val="28"/>
          <w:szCs w:val="28"/>
        </w:rPr>
        <w:t>. журнал.</w:t>
      </w:r>
      <w:r w:rsidRPr="0031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Style w:val="num"/>
          <w:rFonts w:ascii="Times New Roman" w:hAnsi="Times New Roman" w:cs="Times New Roman"/>
          <w:color w:val="0D0D0D" w:themeColor="text1" w:themeTint="F2"/>
          <w:sz w:val="28"/>
          <w:szCs w:val="28"/>
        </w:rPr>
        <w:t>2013</w:t>
      </w:r>
      <w:r>
        <w:rPr>
          <w:rStyle w:val="num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31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nu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Т.</w:t>
      </w:r>
      <w:r w:rsidRPr="006E07DF">
        <w:rPr>
          <w:rStyle w:val="nu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9,</w:t>
      </w:r>
      <w:r>
        <w:rPr>
          <w:rStyle w:val="nu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3.</w:t>
      </w:r>
      <w:r w:rsidRPr="0031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Style w:val="nu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num"/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6E07DF">
        <w:rPr>
          <w:rStyle w:val="num"/>
          <w:rFonts w:ascii="Times New Roman" w:hAnsi="Times New Roman" w:cs="Times New Roman"/>
          <w:color w:val="0D0D0D" w:themeColor="text1" w:themeTint="F2"/>
          <w:sz w:val="28"/>
          <w:szCs w:val="28"/>
        </w:rPr>
        <w:t>.428-430.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Style w:val="num"/>
          <w:rFonts w:ascii="Times New Roman" w:eastAsia="Times New Roman" w:hAnsi="Times New Roman" w:cs="Times New Roman"/>
          <w:sz w:val="28"/>
          <w:szCs w:val="28"/>
        </w:rPr>
      </w:pPr>
      <w:r w:rsidRPr="0072782E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Момынова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М.М. Изменения показателей иммунитета у бол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ных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гингивитом 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пародонтитом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/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М.М.</w:t>
      </w:r>
      <w:r w:rsidRPr="00015989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Момынова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// Актуальные проблемы стоматологии.</w:t>
      </w:r>
      <w:r w:rsidRPr="003D1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Чита, 2004. </w:t>
      </w:r>
      <w:r w:rsidRPr="00BE0E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С.102-107.</w:t>
      </w:r>
    </w:p>
    <w:p w:rsidR="00E11CAA" w:rsidRPr="006E07DF" w:rsidRDefault="00E11CAA" w:rsidP="00E11C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Булгакова А.И. Клинико – иммунологические аспекты лечения хр</w:t>
      </w:r>
      <w:r w:rsidRPr="006E07DF">
        <w:rPr>
          <w:rFonts w:ascii="Times New Roman" w:hAnsi="Times New Roman" w:cs="Times New Roman"/>
          <w:sz w:val="28"/>
          <w:szCs w:val="28"/>
        </w:rPr>
        <w:t>о</w:t>
      </w:r>
      <w:r w:rsidRPr="006E07DF">
        <w:rPr>
          <w:rFonts w:ascii="Times New Roman" w:hAnsi="Times New Roman" w:cs="Times New Roman"/>
          <w:sz w:val="28"/>
          <w:szCs w:val="28"/>
        </w:rPr>
        <w:t>нического генерализованного пародонтита / А.И. Булгакова, Ю.А. Медведев. – Уфа: ГОУ ВПО «Башгосмедуниверситет РОСЗДРАВА», - 2008. – 106 с.</w:t>
      </w:r>
    </w:p>
    <w:p w:rsidR="00E11CAA" w:rsidRPr="003D11A2" w:rsidRDefault="00E11CAA" w:rsidP="00E11C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Грудянов А.И. Иммунологические показатели крови </w:t>
      </w:r>
      <w:r>
        <w:rPr>
          <w:rFonts w:ascii="Times New Roman" w:hAnsi="Times New Roman" w:cs="Times New Roman"/>
          <w:sz w:val="28"/>
          <w:szCs w:val="28"/>
        </w:rPr>
        <w:t>при быстропр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грессирующем паро</w:t>
      </w:r>
      <w:r w:rsidRPr="006E07DF">
        <w:rPr>
          <w:rFonts w:ascii="Times New Roman" w:hAnsi="Times New Roman" w:cs="Times New Roman"/>
          <w:sz w:val="28"/>
          <w:szCs w:val="28"/>
        </w:rPr>
        <w:t>донтите / А.И. Грудянов, И.В. Безрукова // Стом</w:t>
      </w:r>
      <w:r w:rsidRPr="006E07DF">
        <w:rPr>
          <w:rFonts w:ascii="Times New Roman" w:hAnsi="Times New Roman" w:cs="Times New Roman"/>
          <w:sz w:val="28"/>
          <w:szCs w:val="28"/>
        </w:rPr>
        <w:t>а</w:t>
      </w:r>
      <w:r w:rsidRPr="006E07DF">
        <w:rPr>
          <w:rFonts w:ascii="Times New Roman" w:hAnsi="Times New Roman" w:cs="Times New Roman"/>
          <w:sz w:val="28"/>
          <w:szCs w:val="28"/>
        </w:rPr>
        <w:t>тология.</w:t>
      </w:r>
      <w:r w:rsidRPr="003D11A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– </w:t>
      </w:r>
      <w:r w:rsidRPr="003D11A2">
        <w:rPr>
          <w:rFonts w:ascii="Times New Roman" w:hAnsi="Times New Roman" w:cs="Times New Roman"/>
          <w:sz w:val="28"/>
          <w:szCs w:val="28"/>
        </w:rPr>
        <w:t xml:space="preserve">2000.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3D1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1A2">
        <w:rPr>
          <w:rFonts w:ascii="Times New Roman" w:hAnsi="Times New Roman" w:cs="Times New Roman"/>
          <w:sz w:val="28"/>
          <w:szCs w:val="28"/>
        </w:rPr>
        <w:t xml:space="preserve"> 3.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3D11A2">
        <w:rPr>
          <w:rFonts w:ascii="Times New Roman" w:hAnsi="Times New Roman" w:cs="Times New Roman"/>
          <w:sz w:val="28"/>
          <w:szCs w:val="28"/>
        </w:rPr>
        <w:t xml:space="preserve"> С. 15-17.</w:t>
      </w:r>
    </w:p>
    <w:p w:rsidR="00E11CAA" w:rsidRPr="006E07DF" w:rsidRDefault="00E11CAA" w:rsidP="00E11C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Style w:val="num"/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Зубаирова Г.Ш. </w:t>
      </w:r>
      <w:r w:rsidRPr="006E07DF">
        <w:rPr>
          <w:rFonts w:ascii="Times New Roman" w:hAnsi="Times New Roman" w:cs="Times New Roman"/>
          <w:bCs/>
          <w:sz w:val="28"/>
          <w:szCs w:val="28"/>
        </w:rPr>
        <w:t>Изменения активности ряда гуморальных факторов иммунитета в полости рта больных хроническим генерализованным пародонтитом при лечении с локальным использованием пробиотика и иммуномодулятора 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Г.Ш. Зубаирова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//</w:t>
      </w:r>
      <w:r w:rsidRPr="006E07DF">
        <w:rPr>
          <w:rFonts w:ascii="Times New Roman" w:eastAsia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07DF">
        <w:rPr>
          <w:rFonts w:ascii="Times New Roman" w:eastAsia="Times New Roman" w:hAnsi="Times New Roman" w:cs="Times New Roman"/>
          <w:sz w:val="28"/>
          <w:szCs w:val="28"/>
        </w:rPr>
        <w:t xml:space="preserve"> вестник </w:t>
      </w:r>
      <w:r w:rsidRPr="0080101F">
        <w:rPr>
          <w:rFonts w:ascii="Times New Roman" w:eastAsia="Times New Roman" w:hAnsi="Times New Roman" w:cs="Times New Roman"/>
          <w:sz w:val="28"/>
          <w:szCs w:val="28"/>
        </w:rPr>
        <w:t>Баркоштостана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2009.</w:t>
      </w:r>
      <w:r w:rsidRPr="003D11A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Style w:val="num"/>
          <w:rFonts w:ascii="Times New Roman" w:hAnsi="Times New Roman" w:cs="Times New Roman"/>
          <w:color w:val="000000"/>
          <w:sz w:val="28"/>
          <w:szCs w:val="28"/>
        </w:rPr>
        <w:t xml:space="preserve"> Т.</w:t>
      </w:r>
      <w:r w:rsidRPr="006E07DF">
        <w:rPr>
          <w:rStyle w:val="num"/>
          <w:rFonts w:ascii="Times New Roman" w:hAnsi="Times New Roman" w:cs="Times New Roman"/>
          <w:color w:val="000000"/>
          <w:sz w:val="28"/>
          <w:szCs w:val="28"/>
        </w:rPr>
        <w:t xml:space="preserve"> 4,</w:t>
      </w:r>
      <w:r w:rsidRPr="003D11A2">
        <w:rPr>
          <w:rStyle w:val="num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Style w:val="num"/>
          <w:rFonts w:ascii="Times New Roman" w:hAnsi="Times New Roman" w:cs="Times New Roman"/>
          <w:color w:val="000000"/>
          <w:sz w:val="28"/>
          <w:szCs w:val="28"/>
        </w:rPr>
        <w:t>№ 4.</w:t>
      </w:r>
      <w:r w:rsidRPr="003D11A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Style w:val="num"/>
          <w:rFonts w:ascii="Times New Roman" w:hAnsi="Times New Roman" w:cs="Times New Roman"/>
          <w:color w:val="000000"/>
          <w:sz w:val="28"/>
          <w:szCs w:val="28"/>
        </w:rPr>
        <w:t xml:space="preserve"> С. 39-42.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2E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Мельникова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О.Ф. Концепция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вторичных иммуноде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тов на основе определения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иммуноглобулинов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секретах /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О.Ф.</w:t>
      </w:r>
      <w:r w:rsidRPr="003D11A2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Мельникова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Д.И.</w:t>
      </w:r>
      <w:r w:rsidRPr="003D1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Заболотный // Аллергология и иммунология .</w:t>
      </w:r>
      <w:r w:rsidRPr="003D11A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2004.</w:t>
      </w:r>
      <w:r w:rsidRPr="003D11A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Т.5,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№1.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С.42.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2E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Пинегин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Б.В. Иммунодефицитные состояния: возможности примен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иммуномодуляторов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/ Б.В.</w:t>
      </w:r>
      <w:r w:rsidRPr="006440EC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Пинегин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Т.В.</w:t>
      </w:r>
      <w:r w:rsidRPr="00644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Латышева // Лечащий врач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2001.</w:t>
      </w:r>
      <w:r w:rsidRPr="006440EC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№3.</w:t>
      </w:r>
      <w:r w:rsidRPr="006440EC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С.48-50.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2E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Рабинович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И.М. Заболевания слизистой оболочки полости рта /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И.М.</w:t>
      </w:r>
      <w:r w:rsidRPr="00CB6240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Рабинович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Г.В.</w:t>
      </w:r>
      <w:r w:rsidRPr="00CB6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Банченко  //Клин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ич.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стоматол</w:t>
      </w:r>
      <w:r>
        <w:rPr>
          <w:rStyle w:val="hl"/>
          <w:rFonts w:ascii="Times New Roman" w:eastAsia="Times New Roman" w:hAnsi="Times New Roman" w:cs="Times New Roman"/>
          <w:sz w:val="28"/>
          <w:szCs w:val="28"/>
        </w:rPr>
        <w:t>огия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2000.</w:t>
      </w:r>
      <w:r w:rsidRPr="00CB6240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3.</w:t>
      </w:r>
      <w:r w:rsidRPr="00CB6240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="00F92F79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26 </w:t>
      </w:r>
      <w:r w:rsidR="00F92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28.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2E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Рабинович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О.Ф.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Особенности иммунной системы и роль ее наруш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ний в развитие красного плоского лишаям /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О.Ф.</w:t>
      </w:r>
      <w:r w:rsidRPr="00CB6240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Рабинович</w:t>
      </w:r>
      <w:r>
        <w:rPr>
          <w:rStyle w:val="hl"/>
          <w:rFonts w:ascii="Times New Roman" w:eastAsia="Times New Roman" w:hAnsi="Times New Roman" w:cs="Times New Roman"/>
          <w:sz w:val="28"/>
          <w:szCs w:val="28"/>
        </w:rPr>
        <w:t>,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JI.M.</w:t>
      </w:r>
      <w:r w:rsidRPr="00CB6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нухова, Б.В. Пинегин // Стоматология .</w:t>
      </w:r>
      <w:r w:rsidRPr="00CB6240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2000.</w:t>
      </w:r>
      <w:r w:rsidRPr="00CB6240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№6.</w:t>
      </w:r>
      <w:r w:rsidRPr="00CB6240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С.61-63.</w:t>
      </w:r>
    </w:p>
    <w:p w:rsidR="00E11CAA" w:rsidRPr="006E07DF" w:rsidRDefault="00E11CAA" w:rsidP="00E11CAA">
      <w:pPr>
        <w:pStyle w:val="af2"/>
        <w:numPr>
          <w:ilvl w:val="0"/>
          <w:numId w:val="11"/>
        </w:numPr>
        <w:spacing w:line="360" w:lineRule="auto"/>
        <w:ind w:left="786" w:hanging="502"/>
        <w:jc w:val="both"/>
        <w:rPr>
          <w:sz w:val="28"/>
          <w:szCs w:val="28"/>
        </w:rPr>
      </w:pPr>
      <w:r w:rsidRPr="0072782E">
        <w:rPr>
          <w:rStyle w:val="hl"/>
          <w:sz w:val="28"/>
          <w:szCs w:val="28"/>
        </w:rPr>
        <w:t xml:space="preserve"> </w:t>
      </w:r>
      <w:r w:rsidRPr="006E07DF">
        <w:rPr>
          <w:sz w:val="28"/>
          <w:szCs w:val="28"/>
        </w:rPr>
        <w:t>Корреляционная связь между некоторыми показателями клеточного звена</w:t>
      </w:r>
      <w:r w:rsidRPr="006E07DF">
        <w:rPr>
          <w:rStyle w:val="apple-converted-space"/>
          <w:sz w:val="28"/>
          <w:szCs w:val="28"/>
        </w:rPr>
        <w:t> </w:t>
      </w:r>
      <w:r w:rsidRPr="006E07DF">
        <w:rPr>
          <w:rStyle w:val="hl"/>
          <w:sz w:val="28"/>
          <w:szCs w:val="28"/>
        </w:rPr>
        <w:t>иммунитета</w:t>
      </w:r>
      <w:r w:rsidRPr="006E07D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и содержанием иммуноглобулина Е </w:t>
      </w:r>
      <w:r w:rsidRPr="006E07DF">
        <w:rPr>
          <w:sz w:val="28"/>
          <w:szCs w:val="28"/>
        </w:rPr>
        <w:t>/</w:t>
      </w:r>
      <w:r w:rsidRPr="006E07DF">
        <w:rPr>
          <w:rStyle w:val="apple-converted-space"/>
          <w:sz w:val="28"/>
          <w:szCs w:val="28"/>
        </w:rPr>
        <w:t> </w:t>
      </w:r>
      <w:r w:rsidRPr="006E07DF">
        <w:rPr>
          <w:sz w:val="28"/>
          <w:szCs w:val="28"/>
        </w:rPr>
        <w:t>Е.Л.</w:t>
      </w:r>
      <w:r w:rsidRPr="00B03852">
        <w:rPr>
          <w:rStyle w:val="hl"/>
          <w:sz w:val="28"/>
          <w:szCs w:val="28"/>
        </w:rPr>
        <w:t xml:space="preserve"> </w:t>
      </w:r>
      <w:r w:rsidRPr="006E07DF">
        <w:rPr>
          <w:rStyle w:val="hl"/>
          <w:sz w:val="28"/>
          <w:szCs w:val="28"/>
        </w:rPr>
        <w:t>Ракитина</w:t>
      </w:r>
      <w:r w:rsidRPr="006E07DF">
        <w:rPr>
          <w:sz w:val="28"/>
          <w:szCs w:val="28"/>
        </w:rPr>
        <w:t>, Б.В.</w:t>
      </w:r>
      <w:r w:rsidRPr="00B03852">
        <w:rPr>
          <w:sz w:val="28"/>
          <w:szCs w:val="28"/>
        </w:rPr>
        <w:t xml:space="preserve"> </w:t>
      </w:r>
      <w:r w:rsidRPr="006E07DF">
        <w:rPr>
          <w:sz w:val="28"/>
          <w:szCs w:val="28"/>
        </w:rPr>
        <w:t>Щербакова, А.И</w:t>
      </w:r>
      <w:r w:rsidRPr="00B03852">
        <w:rPr>
          <w:sz w:val="28"/>
          <w:szCs w:val="28"/>
        </w:rPr>
        <w:t xml:space="preserve"> </w:t>
      </w:r>
      <w:r w:rsidRPr="006E07DF">
        <w:rPr>
          <w:sz w:val="28"/>
          <w:szCs w:val="28"/>
        </w:rPr>
        <w:t>Титаренко</w:t>
      </w:r>
      <w:r w:rsidRPr="00B03852">
        <w:rPr>
          <w:sz w:val="28"/>
          <w:szCs w:val="28"/>
        </w:rPr>
        <w:t xml:space="preserve"> [</w:t>
      </w:r>
      <w:r w:rsidRPr="006E07DF">
        <w:rPr>
          <w:sz w:val="28"/>
          <w:szCs w:val="28"/>
        </w:rPr>
        <w:t>и</w:t>
      </w:r>
      <w:r>
        <w:rPr>
          <w:sz w:val="28"/>
          <w:szCs w:val="28"/>
        </w:rPr>
        <w:t xml:space="preserve"> др.</w:t>
      </w:r>
      <w:r w:rsidRPr="00B03852">
        <w:rPr>
          <w:sz w:val="28"/>
          <w:szCs w:val="28"/>
        </w:rPr>
        <w:t>]</w:t>
      </w:r>
      <w:r w:rsidRPr="006E07DF">
        <w:rPr>
          <w:sz w:val="28"/>
          <w:szCs w:val="28"/>
        </w:rPr>
        <w:t xml:space="preserve">  // Мед</w:t>
      </w:r>
      <w:r>
        <w:rPr>
          <w:sz w:val="28"/>
          <w:szCs w:val="28"/>
        </w:rPr>
        <w:t>. иммунология.</w:t>
      </w:r>
      <w:r w:rsidRPr="00B03852">
        <w:rPr>
          <w:sz w:val="28"/>
          <w:szCs w:val="28"/>
        </w:rPr>
        <w:t xml:space="preserve"> </w:t>
      </w:r>
      <w:r w:rsidRPr="006E07DF">
        <w:rPr>
          <w:sz w:val="28"/>
          <w:szCs w:val="28"/>
        </w:rPr>
        <w:t>–</w:t>
      </w:r>
      <w:r>
        <w:rPr>
          <w:sz w:val="28"/>
          <w:szCs w:val="28"/>
        </w:rPr>
        <w:t xml:space="preserve"> 2001.</w:t>
      </w:r>
      <w:r w:rsidRPr="00B03852">
        <w:rPr>
          <w:sz w:val="28"/>
          <w:szCs w:val="28"/>
        </w:rPr>
        <w:t xml:space="preserve"> </w:t>
      </w:r>
      <w:r w:rsidRPr="006E07D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Т.З, </w:t>
      </w:r>
      <w:r w:rsidRPr="006E07DF">
        <w:rPr>
          <w:sz w:val="28"/>
          <w:szCs w:val="28"/>
        </w:rPr>
        <w:t>№2.</w:t>
      </w:r>
      <w:r w:rsidRPr="00B03852">
        <w:rPr>
          <w:sz w:val="28"/>
          <w:szCs w:val="28"/>
        </w:rPr>
        <w:t xml:space="preserve"> </w:t>
      </w:r>
      <w:r w:rsidRPr="006E07DF">
        <w:rPr>
          <w:sz w:val="28"/>
          <w:szCs w:val="28"/>
        </w:rPr>
        <w:t>– С.170-171.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Сизякина Ю.Б. Справочник по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клинической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иммунологии / Ю.Б.</w:t>
      </w:r>
      <w:r w:rsidRPr="00B038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зякина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Л.П.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Андрее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ва;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Серия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«Больной вопрос».</w:t>
      </w:r>
      <w:r w:rsidRPr="00B70E3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Ростов н/Д: Ф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никс,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2007.</w:t>
      </w:r>
      <w:r w:rsidRPr="00B70E3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448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2E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Хаитов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P.M. Вторичные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иммунодефициты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клиника, диагностика, л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чение /</w:t>
      </w:r>
      <w:r w:rsidRPr="006E07DF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P.M.</w:t>
      </w:r>
      <w:r w:rsidRPr="00397FD6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Style w:val="hl"/>
          <w:rFonts w:ascii="Times New Roman" w:eastAsia="Times New Roman" w:hAnsi="Times New Roman" w:cs="Times New Roman"/>
          <w:sz w:val="28"/>
          <w:szCs w:val="28"/>
        </w:rPr>
        <w:t>Хаитов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Б.В.</w:t>
      </w:r>
      <w:r w:rsidRPr="0039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Пинегин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// Иммунология.</w:t>
      </w:r>
      <w:r w:rsidRPr="00397FD6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2000.</w:t>
      </w:r>
      <w:r w:rsidRPr="00397FD6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1.</w:t>
      </w:r>
      <w:r w:rsidRPr="00397FD6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 14-17.</w:t>
      </w:r>
    </w:p>
    <w:p w:rsidR="00E11CAA" w:rsidRPr="0072782E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7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Biological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therapeutic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aspects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infant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leukemia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Biondi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mino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Pieters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Pui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Blood. 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9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2000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39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Vol.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96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39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>. 24-33.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Clinical heterogeneity in childhood acute lymphoblastic leukemia with 11q23 rearrangements / C.-H.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Pui,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J.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Chessells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B.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Camitta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et al.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Le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kemia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2003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39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Vol.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17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700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706.</w:t>
      </w:r>
    </w:p>
    <w:p w:rsidR="00E11CAA" w:rsidRPr="0072782E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Manola K. Cytogenetics of pediatric acute myeloid leukemia.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/ K.</w:t>
      </w:r>
      <w:r w:rsidRPr="00397F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Manola //</w:t>
      </w:r>
      <w:r w:rsidRPr="007956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Eur. J. Haematol. 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956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>2009</w:t>
      </w:r>
      <w:r w:rsidRPr="007956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79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Vol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7956DD">
        <w:rPr>
          <w:rFonts w:ascii="Times New Roman" w:eastAsia="Times New Roman" w:hAnsi="Times New Roman" w:cs="Times New Roman"/>
          <w:sz w:val="28"/>
          <w:szCs w:val="28"/>
          <w:lang w:val="en-US"/>
        </w:rPr>
        <w:t>83.</w:t>
      </w:r>
      <w:r w:rsidRPr="007956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956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956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>391-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>405.</w:t>
      </w:r>
    </w:p>
    <w:p w:rsidR="00E11CAA" w:rsidRPr="0072782E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Cytogenetics of childhood acute myeloid leukemia / C.</w:t>
      </w:r>
      <w:r w:rsidRPr="006817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Harrison, R.</w:t>
      </w:r>
      <w:r w:rsidRPr="006817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Hills, A.</w:t>
      </w:r>
      <w:r w:rsidRPr="006817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Moorman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et al.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6817A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United Kingdom Medical Research Council Treatme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nt trials A M L 10 and 12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J. Clin. Oncol. 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81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2010</w:t>
      </w:r>
      <w:r w:rsidRPr="006817A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81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Vol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28,N 16.</w:t>
      </w:r>
      <w:r w:rsidRPr="00681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>. 2674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82E">
        <w:rPr>
          <w:rFonts w:ascii="Times New Roman" w:eastAsia="Times New Roman" w:hAnsi="Times New Roman" w:cs="Times New Roman"/>
          <w:sz w:val="28"/>
          <w:szCs w:val="28"/>
          <w:lang w:val="en-US"/>
        </w:rPr>
        <w:t>2681.</w:t>
      </w:r>
    </w:p>
    <w:p w:rsidR="00E11CAA" w:rsidRPr="00E97269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Clinical features, cytogenetics and outcome in acute lymphoblastic and myeloid leukaemia of infancy: report from the MRC Childhood Leukaemia working party / J.</w:t>
      </w:r>
      <w:r w:rsidRPr="00E972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Chessells, C.</w:t>
      </w:r>
      <w:r w:rsidRPr="00E972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Harrison, H. Kempski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et al.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E97269">
        <w:rPr>
          <w:rFonts w:ascii="Times New Roman" w:eastAsia="Times New Roman" w:hAnsi="Times New Roman" w:cs="Times New Roman"/>
          <w:sz w:val="28"/>
          <w:szCs w:val="28"/>
          <w:lang w:val="en-US"/>
        </w:rPr>
        <w:t>// Leukemia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E97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2002</w:t>
      </w:r>
      <w:r w:rsidRPr="00E9726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81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Vol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97269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E9726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E97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81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2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7269">
        <w:rPr>
          <w:rFonts w:ascii="Times New Roman" w:eastAsia="Times New Roman" w:hAnsi="Times New Roman" w:cs="Times New Roman"/>
          <w:sz w:val="28"/>
          <w:szCs w:val="28"/>
          <w:lang w:val="en-US"/>
        </w:rPr>
        <w:t>. 776-784.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Infant acute lymphoblastic leukemia - combined cytogenetic, immunoph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notypical and molecular analysis of 77 cases / A.</w:t>
      </w:r>
      <w:r w:rsidRPr="000163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Borkhardt, C.</w:t>
      </w:r>
      <w:r w:rsidRPr="000163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Wuchter, S.</w:t>
      </w:r>
      <w:r w:rsidRPr="000163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Viehmann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al.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Leukemia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200</w:t>
      </w:r>
      <w:r w:rsidRPr="0001630E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163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Vol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16</w:t>
      </w:r>
      <w:r w:rsidRPr="0001630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97F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163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E07DF">
        <w:rPr>
          <w:rFonts w:ascii="Times New Roman" w:eastAsia="Times New Roman" w:hAnsi="Times New Roman" w:cs="Times New Roman"/>
          <w:sz w:val="28"/>
          <w:szCs w:val="28"/>
          <w:lang w:val="en-US"/>
        </w:rPr>
        <w:t>.1685-1690.</w:t>
      </w:r>
    </w:p>
    <w:p w:rsidR="00E11CAA" w:rsidRPr="003804A7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B1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04A7">
        <w:rPr>
          <w:rFonts w:ascii="Times New Roman" w:hAnsi="Times New Roman" w:cs="Times New Roman"/>
          <w:sz w:val="28"/>
          <w:szCs w:val="28"/>
        </w:rPr>
        <w:t>Матвеева И.И., Блиндарь В.Н. Алгоритм лабораторной диагностики острого лейкоза: Руководство для врачей</w:t>
      </w:r>
      <w:r w:rsidRPr="003804A7">
        <w:rPr>
          <w:rFonts w:ascii="Times New Roman" w:hAnsi="Times New Roman" w:cs="Times New Roman"/>
          <w:sz w:val="28"/>
          <w:szCs w:val="28"/>
        </w:rPr>
        <w:t xml:space="preserve"> / </w:t>
      </w:r>
      <w:r w:rsidR="003804A7">
        <w:rPr>
          <w:rFonts w:ascii="Times New Roman" w:hAnsi="Times New Roman" w:cs="Times New Roman"/>
          <w:sz w:val="28"/>
          <w:szCs w:val="28"/>
        </w:rPr>
        <w:t>И.И.</w:t>
      </w:r>
      <w:r w:rsidR="003804A7" w:rsidRPr="003804A7">
        <w:rPr>
          <w:rFonts w:ascii="Times New Roman" w:hAnsi="Times New Roman" w:cs="Times New Roman"/>
          <w:sz w:val="28"/>
          <w:szCs w:val="28"/>
        </w:rPr>
        <w:t xml:space="preserve"> </w:t>
      </w:r>
      <w:r w:rsidR="003804A7">
        <w:rPr>
          <w:rFonts w:ascii="Times New Roman" w:hAnsi="Times New Roman" w:cs="Times New Roman"/>
          <w:sz w:val="28"/>
          <w:szCs w:val="28"/>
        </w:rPr>
        <w:t>Матвеева</w:t>
      </w:r>
      <w:r w:rsidRPr="003804A7">
        <w:rPr>
          <w:rFonts w:ascii="Times New Roman" w:hAnsi="Times New Roman" w:cs="Times New Roman"/>
          <w:sz w:val="28"/>
          <w:szCs w:val="28"/>
        </w:rPr>
        <w:t>,</w:t>
      </w:r>
      <w:r w:rsidR="003804A7">
        <w:rPr>
          <w:rFonts w:ascii="Times New Roman" w:hAnsi="Times New Roman" w:cs="Times New Roman"/>
          <w:sz w:val="28"/>
          <w:szCs w:val="28"/>
        </w:rPr>
        <w:t xml:space="preserve"> В.Н. Бли</w:t>
      </w:r>
      <w:r w:rsidR="003804A7">
        <w:rPr>
          <w:rFonts w:ascii="Times New Roman" w:hAnsi="Times New Roman" w:cs="Times New Roman"/>
          <w:sz w:val="28"/>
          <w:szCs w:val="28"/>
        </w:rPr>
        <w:t>н</w:t>
      </w:r>
      <w:r w:rsidR="003804A7">
        <w:rPr>
          <w:rFonts w:ascii="Times New Roman" w:hAnsi="Times New Roman" w:cs="Times New Roman"/>
          <w:sz w:val="28"/>
          <w:szCs w:val="28"/>
        </w:rPr>
        <w:t xml:space="preserve">дарь. </w:t>
      </w:r>
      <w:r w:rsidR="003804A7" w:rsidRPr="003804A7">
        <w:rPr>
          <w:rFonts w:ascii="Times New Roman" w:hAnsi="Times New Roman" w:cs="Times New Roman"/>
          <w:sz w:val="28"/>
          <w:szCs w:val="28"/>
        </w:rPr>
        <w:t>–</w:t>
      </w:r>
      <w:r w:rsidR="003804A7">
        <w:rPr>
          <w:rFonts w:ascii="Times New Roman" w:hAnsi="Times New Roman" w:cs="Times New Roman"/>
          <w:iCs/>
          <w:sz w:val="28"/>
          <w:szCs w:val="28"/>
        </w:rPr>
        <w:t>Москва</w:t>
      </w:r>
      <w:r w:rsidRPr="003804A7">
        <w:rPr>
          <w:rFonts w:ascii="Times New Roman" w:hAnsi="Times New Roman" w:cs="Times New Roman"/>
          <w:iCs/>
          <w:sz w:val="28"/>
          <w:szCs w:val="28"/>
        </w:rPr>
        <w:t>:</w:t>
      </w:r>
      <w:r w:rsidR="003804A7">
        <w:rPr>
          <w:rFonts w:ascii="Times New Roman" w:hAnsi="Times New Roman" w:cs="Times New Roman"/>
          <w:iCs/>
          <w:sz w:val="28"/>
          <w:szCs w:val="28"/>
        </w:rPr>
        <w:t xml:space="preserve"> Мед.информ. агенство</w:t>
      </w:r>
      <w:r w:rsidR="003804A7">
        <w:rPr>
          <w:rFonts w:ascii="Times New Roman" w:hAnsi="Times New Roman" w:cs="Times New Roman"/>
          <w:sz w:val="28"/>
          <w:szCs w:val="28"/>
        </w:rPr>
        <w:t>, 2013</w:t>
      </w:r>
      <w:r w:rsidRPr="003804A7">
        <w:rPr>
          <w:rFonts w:ascii="Times New Roman" w:hAnsi="Times New Roman" w:cs="Times New Roman"/>
          <w:sz w:val="28"/>
          <w:szCs w:val="28"/>
        </w:rPr>
        <w:t>.</w:t>
      </w:r>
      <w:r w:rsidR="00380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4A7" w:rsidRPr="008F1A1D">
        <w:rPr>
          <w:rFonts w:ascii="Times New Roman" w:hAnsi="Times New Roman" w:cs="Times New Roman"/>
          <w:sz w:val="28"/>
          <w:szCs w:val="28"/>
        </w:rPr>
        <w:t>–</w:t>
      </w:r>
      <w:r w:rsidR="003804A7">
        <w:rPr>
          <w:rFonts w:ascii="Times New Roman" w:hAnsi="Times New Roman" w:cs="Times New Roman"/>
          <w:sz w:val="28"/>
          <w:szCs w:val="28"/>
        </w:rPr>
        <w:t xml:space="preserve"> </w:t>
      </w:r>
      <w:r w:rsidR="003804A7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3804A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11CAA" w:rsidRPr="006E07DF" w:rsidRDefault="00E11CAA" w:rsidP="00E11CAA">
      <w:pPr>
        <w:pStyle w:val="22"/>
        <w:numPr>
          <w:ilvl w:val="0"/>
          <w:numId w:val="11"/>
        </w:numPr>
        <w:shd w:val="clear" w:color="auto" w:fill="auto"/>
        <w:tabs>
          <w:tab w:val="left" w:pos="589"/>
        </w:tabs>
        <w:spacing w:after="0" w:line="360" w:lineRule="auto"/>
        <w:ind w:left="786" w:right="20" w:hanging="502"/>
        <w:jc w:val="both"/>
      </w:pPr>
      <w:r w:rsidRPr="0072782E">
        <w:t xml:space="preserve"> </w:t>
      </w:r>
      <w:r w:rsidRPr="006E07DF">
        <w:t>Факторы местной резистентности и иммунологической реактивности полости рта. Способы их клинико-лабораторной оценки (обзор лит</w:t>
      </w:r>
      <w:r w:rsidRPr="006E07DF">
        <w:t>е</w:t>
      </w:r>
      <w:r w:rsidRPr="006E07DF">
        <w:t>ратуры)</w:t>
      </w:r>
      <w:r w:rsidRPr="006E07DF">
        <w:rPr>
          <w:lang w:val="uk-UA"/>
        </w:rPr>
        <w:t xml:space="preserve"> </w:t>
      </w:r>
      <w:r w:rsidRPr="006E07DF">
        <w:t xml:space="preserve">/ Л. М. Цепов </w:t>
      </w:r>
      <w:r w:rsidRPr="0001630E">
        <w:t>[</w:t>
      </w:r>
      <w:r w:rsidRPr="006E07DF">
        <w:t>и др.</w:t>
      </w:r>
      <w:r w:rsidRPr="0001630E">
        <w:t>]</w:t>
      </w:r>
      <w:r w:rsidRPr="006E07DF">
        <w:rPr>
          <w:lang w:val="uk-UA"/>
        </w:rPr>
        <w:t xml:space="preserve"> </w:t>
      </w:r>
      <w:r w:rsidRPr="006E07DF">
        <w:t>//</w:t>
      </w:r>
      <w:r w:rsidRPr="006E07DF">
        <w:rPr>
          <w:lang w:val="uk-UA"/>
        </w:rPr>
        <w:t xml:space="preserve"> </w:t>
      </w:r>
      <w:r w:rsidRPr="006E07DF">
        <w:t xml:space="preserve"> Пародонтология </w:t>
      </w:r>
      <w:r w:rsidRPr="001719E8">
        <w:t>–</w:t>
      </w:r>
      <w:r w:rsidRPr="006E07DF">
        <w:t xml:space="preserve"> 2005.</w:t>
      </w:r>
      <w:r w:rsidRPr="001719E8">
        <w:t xml:space="preserve"> – </w:t>
      </w:r>
      <w:r w:rsidRPr="006E07DF">
        <w:t xml:space="preserve">№3 (36). </w:t>
      </w:r>
      <w:r w:rsidRPr="00F06826">
        <w:t xml:space="preserve">– </w:t>
      </w:r>
      <w:r w:rsidRPr="006E07DF">
        <w:t>С. 3 - 9.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Breiteeld P.P. Acutae lymphoblastic leukemia. Blood Disease of in- fancy and Childhood / P.P. Breiteeld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6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d D.R.Miller. – Baltimore</w:t>
      </w:r>
      <w:r w:rsidRPr="00F0682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2000. – 175 p.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Lukens J.N. Acute lymphoblastic leukemia. Wintrobe’s Clinical Hemato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ogy / J.N.</w:t>
      </w:r>
      <w:r w:rsidRPr="00F06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Lukens</w:t>
      </w:r>
      <w:r w:rsidRPr="00F0682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ds G.R.Lee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et al</w:t>
      </w:r>
      <w:r>
        <w:rPr>
          <w:rFonts w:ascii="Times New Roman" w:hAnsi="Times New Roman" w:cs="Times New Roman"/>
          <w:sz w:val="28"/>
          <w:szCs w:val="28"/>
          <w:lang w:val="en-US"/>
        </w:rPr>
        <w:t>]. – London ,</w:t>
      </w:r>
      <w:r w:rsidRPr="00150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2013. – 1892 р.</w:t>
      </w:r>
    </w:p>
    <w:p w:rsidR="00E11CAA" w:rsidRPr="007B5F6D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150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Ершова В.И. Наглядная гематология: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C23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7B5F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07DF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 англ.</w:t>
      </w:r>
      <w:r w:rsidRPr="007B5F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7B5F6D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2-е изд.</w:t>
      </w:r>
      <w:r w:rsidR="00DF4C23">
        <w:rPr>
          <w:rFonts w:ascii="Times New Roman" w:hAnsi="Times New Roman" w:cs="Times New Roman"/>
          <w:sz w:val="28"/>
          <w:szCs w:val="28"/>
        </w:rPr>
        <w:t xml:space="preserve"> / </w:t>
      </w:r>
      <w:r w:rsidRPr="006E07DF">
        <w:rPr>
          <w:rFonts w:ascii="Times New Roman" w:hAnsi="Times New Roman" w:cs="Times New Roman"/>
          <w:sz w:val="28"/>
          <w:szCs w:val="28"/>
        </w:rPr>
        <w:t>И. Ершова, А.</w:t>
      </w:r>
      <w:r w:rsidRPr="007B5F6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Хоффбрэнд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5F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Москва: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ГЭОТАР-Медиа, 2008.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5F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114 с.</w:t>
      </w:r>
    </w:p>
    <w:p w:rsidR="00E11CAA" w:rsidRPr="00150BDB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Ушаков Р.В. Микрофлора полости рта и ее значение в развитии ст</w:t>
      </w:r>
      <w:r w:rsidRPr="006E07DF">
        <w:rPr>
          <w:rFonts w:ascii="Times New Roman" w:hAnsi="Times New Roman" w:cs="Times New Roman"/>
          <w:sz w:val="28"/>
          <w:szCs w:val="28"/>
        </w:rPr>
        <w:t>о</w:t>
      </w:r>
      <w:r w:rsidR="006F47C6">
        <w:rPr>
          <w:rFonts w:ascii="Times New Roman" w:hAnsi="Times New Roman" w:cs="Times New Roman"/>
          <w:sz w:val="28"/>
          <w:szCs w:val="28"/>
        </w:rPr>
        <w:t xml:space="preserve">матологических заболеваний / </w:t>
      </w:r>
      <w:r w:rsidRPr="006E07DF">
        <w:rPr>
          <w:rFonts w:ascii="Times New Roman" w:hAnsi="Times New Roman" w:cs="Times New Roman"/>
          <w:sz w:val="28"/>
          <w:szCs w:val="28"/>
        </w:rPr>
        <w:t>Р.В.</w:t>
      </w:r>
      <w:r w:rsidRPr="00150BDB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Ушаков, В.Н.</w:t>
      </w:r>
      <w:r w:rsidRPr="00150BDB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Царев  //Стоматология для всех. </w:t>
      </w:r>
      <w:r w:rsidRPr="007B5F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1999.</w:t>
      </w:r>
      <w:r w:rsidRPr="00150BDB">
        <w:rPr>
          <w:rFonts w:ascii="Times New Roman" w:hAnsi="Times New Roman" w:cs="Times New Roman"/>
          <w:sz w:val="28"/>
          <w:szCs w:val="28"/>
        </w:rPr>
        <w:t xml:space="preserve"> </w:t>
      </w:r>
      <w:r w:rsidRPr="007B5F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№3.</w:t>
      </w:r>
      <w:r w:rsidRPr="00150BDB">
        <w:rPr>
          <w:rFonts w:ascii="Times New Roman" w:hAnsi="Times New Roman" w:cs="Times New Roman"/>
          <w:sz w:val="28"/>
          <w:szCs w:val="28"/>
        </w:rPr>
        <w:t xml:space="preserve"> </w:t>
      </w:r>
      <w:r w:rsidRPr="007B5F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С.22-26.</w:t>
      </w:r>
    </w:p>
    <w:p w:rsidR="00E11CAA" w:rsidRPr="00150BDB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Хазанова В.В. Микробная флора полости рта</w:t>
      </w:r>
      <w:r>
        <w:rPr>
          <w:rFonts w:ascii="Times New Roman" w:hAnsi="Times New Roman" w:cs="Times New Roman"/>
          <w:sz w:val="28"/>
          <w:szCs w:val="28"/>
        </w:rPr>
        <w:t>: Справочник по стом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тологии </w:t>
      </w:r>
      <w:r w:rsidRPr="006E07DF">
        <w:rPr>
          <w:rFonts w:ascii="Times New Roman" w:hAnsi="Times New Roman" w:cs="Times New Roman"/>
          <w:sz w:val="28"/>
          <w:szCs w:val="28"/>
        </w:rPr>
        <w:t>/ В.В.</w:t>
      </w:r>
      <w:r w:rsidRPr="00150BDB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Хазанова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BDB">
        <w:rPr>
          <w:rFonts w:ascii="Times New Roman" w:hAnsi="Times New Roman" w:cs="Times New Roman"/>
          <w:sz w:val="28"/>
          <w:szCs w:val="28"/>
        </w:rPr>
        <w:t xml:space="preserve"> </w:t>
      </w:r>
      <w:r w:rsidRPr="007B5F6D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6E07DF">
        <w:rPr>
          <w:rFonts w:ascii="Times New Roman" w:hAnsi="Times New Roman" w:cs="Times New Roman"/>
          <w:sz w:val="28"/>
          <w:szCs w:val="28"/>
        </w:rPr>
        <w:t>: Мед</w:t>
      </w:r>
      <w:r>
        <w:rPr>
          <w:rFonts w:ascii="Times New Roman" w:hAnsi="Times New Roman" w:cs="Times New Roman"/>
          <w:sz w:val="28"/>
          <w:szCs w:val="28"/>
        </w:rPr>
        <w:t>ицина</w:t>
      </w:r>
      <w:r w:rsidRPr="006E07DF">
        <w:rPr>
          <w:rFonts w:ascii="Times New Roman" w:hAnsi="Times New Roman" w:cs="Times New Roman"/>
          <w:sz w:val="28"/>
          <w:szCs w:val="28"/>
        </w:rPr>
        <w:t>, 1998.</w:t>
      </w:r>
      <w:r w:rsidRPr="00150BDB">
        <w:rPr>
          <w:rFonts w:ascii="Times New Roman" w:hAnsi="Times New Roman" w:cs="Times New Roman"/>
          <w:sz w:val="28"/>
          <w:szCs w:val="28"/>
        </w:rPr>
        <w:t xml:space="preserve"> </w:t>
      </w:r>
      <w:r w:rsidRPr="007B5F6D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С.438-443.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Прохватилова Т.Н. Микробиологические аспекты профилактики ана</w:t>
      </w:r>
      <w:r w:rsidRPr="006E07DF">
        <w:rPr>
          <w:rFonts w:ascii="Times New Roman" w:hAnsi="Times New Roman" w:cs="Times New Roman"/>
          <w:sz w:val="28"/>
          <w:szCs w:val="28"/>
        </w:rPr>
        <w:t>э</w:t>
      </w:r>
      <w:r w:rsidRPr="006E07DF">
        <w:rPr>
          <w:rFonts w:ascii="Times New Roman" w:hAnsi="Times New Roman" w:cs="Times New Roman"/>
          <w:sz w:val="28"/>
          <w:szCs w:val="28"/>
        </w:rPr>
        <w:t xml:space="preserve">робной инфекции при заболеваниях пародонта  / Т. Н. Прохватилова  // Пародонтология. </w:t>
      </w:r>
      <w:r w:rsidRPr="007B5F6D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2003. </w:t>
      </w:r>
      <w:r w:rsidRPr="007B5F6D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№3 (28). </w:t>
      </w:r>
      <w:r w:rsidRPr="007B5F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 84 - 85.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993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Савичук Н.О. Микроэкология полости рта, дисбактериоз и пути его коррекции / Н.О.</w:t>
      </w:r>
      <w:r w:rsidRPr="005A6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Савичук, А.В.</w:t>
      </w:r>
      <w:r w:rsidRPr="005A6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Савичук //Современная стоматология. </w:t>
      </w:r>
      <w:r w:rsidRPr="007B5F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2002. – № 4. – С. 25–27.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993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Рединова Т.Л. </w:t>
      </w:r>
      <w:r w:rsidRPr="006E07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Микробиологические и клинические характеристики дисбиотического состояния в полости рта /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Т.Л.</w:t>
      </w:r>
      <w:r w:rsidRPr="003E2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Рединова, Л.А. Иван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ва, О.В.</w:t>
      </w:r>
      <w:r w:rsidRPr="003E2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Мартюшева //Стоматология.</w:t>
      </w:r>
      <w:r w:rsidRPr="0021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2009.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№ 6.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С. 12–18.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Зеленова Е.Г. Микрофлора полости рта: норма и патология / Е.Г.</w:t>
      </w:r>
      <w:r w:rsidRPr="0021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ленова, М.И.</w:t>
      </w:r>
      <w:r w:rsidRPr="0021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Заславская, Е.В.</w:t>
      </w:r>
      <w:r w:rsidRPr="0021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Салина, С.П.</w:t>
      </w:r>
      <w:r w:rsidRPr="0021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Рассанов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Нижний Но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город: Изд-во НГМА,  2004.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158с. 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</w:rPr>
        <w:t xml:space="preserve"> Микробиология, вирусология и иммунология : учеб. для студентов мед. вузов /под ред. В.Н. Царева.</w:t>
      </w:r>
      <w:r w:rsidRPr="00E01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Практическая медицина, 2009.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581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E11CAA" w:rsidRPr="00E0125D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Рабинович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Микробиологическая хар</w:t>
      </w:r>
      <w:r>
        <w:rPr>
          <w:rFonts w:ascii="Times New Roman" w:hAnsi="Times New Roman" w:cs="Times New Roman"/>
          <w:sz w:val="28"/>
          <w:szCs w:val="28"/>
        </w:rPr>
        <w:t>актеристика полости рта в норме</w:t>
      </w:r>
      <w:r w:rsidRPr="006E07DF">
        <w:rPr>
          <w:rFonts w:ascii="Times New Roman" w:hAnsi="Times New Roman" w:cs="Times New Roman"/>
          <w:sz w:val="28"/>
          <w:szCs w:val="28"/>
        </w:rPr>
        <w:t xml:space="preserve"> и при дисбактериозе / </w:t>
      </w:r>
      <w:r>
        <w:rPr>
          <w:rFonts w:ascii="Times New Roman" w:hAnsi="Times New Roman" w:cs="Times New Roman"/>
          <w:sz w:val="28"/>
          <w:szCs w:val="28"/>
        </w:rPr>
        <w:t>И.М.</w:t>
      </w:r>
      <w:r w:rsidRPr="00E0125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Рабинович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7DF">
        <w:rPr>
          <w:rFonts w:ascii="Times New Roman" w:hAnsi="Times New Roman" w:cs="Times New Roman"/>
          <w:sz w:val="28"/>
          <w:szCs w:val="28"/>
        </w:rPr>
        <w:t xml:space="preserve"> О.Ф.</w:t>
      </w:r>
      <w:r w:rsidRPr="00E0125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Рабинович, Г.В.</w:t>
      </w:r>
      <w:r w:rsidRPr="00E0125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Банченко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6E07DF">
        <w:rPr>
          <w:rFonts w:ascii="Times New Roman" w:hAnsi="Times New Roman" w:cs="Times New Roman"/>
          <w:sz w:val="28"/>
          <w:szCs w:val="28"/>
        </w:rPr>
        <w:t xml:space="preserve">: ГЭОТАР МЕД, 2003.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16 с.</w:t>
      </w:r>
    </w:p>
    <w:p w:rsidR="00E11CAA" w:rsidRPr="0072782E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Левицкий А.П. Физиологическая микробная система полости рта // Вісник стоматології.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2007.</w:t>
      </w:r>
      <w:r w:rsidRPr="00973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 №1.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 С.6-11.</w:t>
      </w:r>
    </w:p>
    <w:p w:rsidR="00E11CAA" w:rsidRPr="006E07DF" w:rsidRDefault="00E11CAA" w:rsidP="00E11CAA">
      <w:pPr>
        <w:pStyle w:val="1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hAnsi="Times New Roman"/>
          <w:color w:val="000000"/>
          <w:sz w:val="28"/>
          <w:szCs w:val="28"/>
        </w:rPr>
      </w:pPr>
      <w:r w:rsidRPr="00727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/>
          <w:color w:val="000000"/>
          <w:sz w:val="28"/>
          <w:szCs w:val="28"/>
        </w:rPr>
        <w:t>Микробиоценоз полости рта</w:t>
      </w:r>
      <w:r w:rsidRPr="006E07DF">
        <w:rPr>
          <w:rFonts w:ascii="Times New Roman" w:hAnsi="Times New Roman"/>
          <w:color w:val="000000"/>
          <w:sz w:val="28"/>
          <w:szCs w:val="28"/>
          <w:lang w:val="uk-UA"/>
        </w:rPr>
        <w:t xml:space="preserve"> / </w:t>
      </w:r>
      <w:r w:rsidRPr="006E07DF">
        <w:rPr>
          <w:rFonts w:ascii="Times New Roman" w:hAnsi="Times New Roman"/>
          <w:color w:val="000000"/>
          <w:sz w:val="28"/>
          <w:szCs w:val="28"/>
        </w:rPr>
        <w:t>С.Н.</w:t>
      </w:r>
      <w:r w:rsidRPr="00973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/>
          <w:color w:val="000000"/>
          <w:sz w:val="28"/>
          <w:szCs w:val="28"/>
        </w:rPr>
        <w:t>Разумова, С.Н.</w:t>
      </w:r>
      <w:r w:rsidRPr="00973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/>
          <w:color w:val="000000"/>
          <w:sz w:val="28"/>
          <w:szCs w:val="28"/>
        </w:rPr>
        <w:t>Шатохина, В.В.</w:t>
      </w:r>
      <w:r w:rsidRPr="00973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/>
          <w:color w:val="000000"/>
          <w:sz w:val="28"/>
          <w:szCs w:val="28"/>
        </w:rPr>
        <w:t>Шабалин, О.В.</w:t>
      </w:r>
      <w:r w:rsidRPr="00973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/>
          <w:color w:val="000000"/>
          <w:sz w:val="28"/>
          <w:szCs w:val="28"/>
        </w:rPr>
        <w:t xml:space="preserve">Булгаков </w:t>
      </w:r>
      <w:r w:rsidRPr="00973072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и др.</w:t>
      </w:r>
      <w:r w:rsidRPr="00973072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/>
          <w:color w:val="000000"/>
          <w:sz w:val="28"/>
          <w:szCs w:val="28"/>
        </w:rPr>
        <w:t>//</w:t>
      </w:r>
      <w:r w:rsidRPr="006E07D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/>
          <w:color w:val="000000"/>
          <w:sz w:val="28"/>
          <w:szCs w:val="28"/>
        </w:rPr>
        <w:t xml:space="preserve">Научные труды </w:t>
      </w:r>
      <w:r w:rsidRPr="006E07DF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6E07DF">
        <w:rPr>
          <w:rFonts w:ascii="Times New Roman" w:hAnsi="Times New Roman"/>
          <w:color w:val="000000"/>
          <w:sz w:val="28"/>
          <w:szCs w:val="28"/>
          <w:lang w:val="uk-UA"/>
        </w:rPr>
        <w:t>ІІ</w:t>
      </w:r>
      <w:r w:rsidRPr="006E07D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E0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Междунар.</w:t>
      </w:r>
      <w:r w:rsidRPr="006E07DF">
        <w:rPr>
          <w:rFonts w:ascii="Times New Roman" w:hAnsi="Times New Roman"/>
          <w:color w:val="000000"/>
          <w:sz w:val="28"/>
          <w:szCs w:val="28"/>
        </w:rPr>
        <w:t xml:space="preserve"> ко</w:t>
      </w:r>
      <w:r w:rsidRPr="006E07DF">
        <w:rPr>
          <w:rFonts w:ascii="Times New Roman" w:hAnsi="Times New Roman"/>
          <w:color w:val="000000"/>
          <w:sz w:val="28"/>
          <w:szCs w:val="28"/>
        </w:rPr>
        <w:t>н</w:t>
      </w:r>
      <w:r w:rsidRPr="006E07DF">
        <w:rPr>
          <w:rFonts w:ascii="Times New Roman" w:hAnsi="Times New Roman"/>
          <w:color w:val="000000"/>
          <w:sz w:val="28"/>
          <w:szCs w:val="28"/>
        </w:rPr>
        <w:t>гресса «Здоровье и образование в XXI веке; концепции болезней цив</w:t>
      </w:r>
      <w:r w:rsidRPr="006E07DF">
        <w:rPr>
          <w:rFonts w:ascii="Times New Roman" w:hAnsi="Times New Roman"/>
          <w:color w:val="000000"/>
          <w:sz w:val="28"/>
          <w:szCs w:val="28"/>
        </w:rPr>
        <w:t>и</w:t>
      </w:r>
      <w:r w:rsidRPr="006E07DF">
        <w:rPr>
          <w:rFonts w:ascii="Times New Roman" w:hAnsi="Times New Roman"/>
          <w:color w:val="000000"/>
          <w:sz w:val="28"/>
          <w:szCs w:val="28"/>
        </w:rPr>
        <w:t xml:space="preserve">лизации». </w:t>
      </w:r>
      <w:r w:rsidR="006F47C6" w:rsidRPr="001719E8">
        <w:t>–</w:t>
      </w:r>
      <w:r w:rsidRPr="006E07DF">
        <w:rPr>
          <w:rFonts w:ascii="Times New Roman" w:hAnsi="Times New Roman"/>
          <w:color w:val="000000"/>
          <w:sz w:val="28"/>
          <w:szCs w:val="28"/>
        </w:rPr>
        <w:t xml:space="preserve"> Москва: РУДН, 2007. </w:t>
      </w:r>
      <w:r w:rsidR="006F47C6" w:rsidRPr="001719E8">
        <w:t>–</w:t>
      </w:r>
      <w:r w:rsidRPr="006E07D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</w:t>
      </w:r>
      <w:r w:rsidRPr="006E07DF">
        <w:rPr>
          <w:rFonts w:ascii="Times New Roman" w:hAnsi="Times New Roman"/>
          <w:color w:val="000000"/>
          <w:sz w:val="28"/>
          <w:szCs w:val="28"/>
        </w:rPr>
        <w:t>532</w:t>
      </w:r>
      <w:r w:rsidRPr="006E07DF"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 w:rsidRPr="006E07DF">
        <w:rPr>
          <w:rFonts w:ascii="Times New Roman" w:hAnsi="Times New Roman"/>
          <w:color w:val="000000"/>
          <w:sz w:val="28"/>
          <w:szCs w:val="28"/>
        </w:rPr>
        <w:t>.</w:t>
      </w:r>
    </w:p>
    <w:p w:rsidR="00E11CAA" w:rsidRPr="00B365F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Почтарь В.Н. Диагностика кандидоза в клинической стоматологии / </w:t>
      </w:r>
      <w:r w:rsidRPr="006E07DF">
        <w:rPr>
          <w:rFonts w:ascii="Times New Roman" w:hAnsi="Times New Roman" w:cs="Times New Roman"/>
          <w:sz w:val="28"/>
          <w:szCs w:val="28"/>
        </w:rPr>
        <w:lastRenderedPageBreak/>
        <w:t>В.Н.</w:t>
      </w:r>
      <w:r w:rsidRPr="00B365F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Почтарь, В.Я.</w:t>
      </w:r>
      <w:r w:rsidRPr="00B36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>Скиба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// Вісник стоматології.</w:t>
      </w:r>
      <w:r w:rsidRPr="006E0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7C6" w:rsidRPr="001719E8">
        <w:t>–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2003.</w:t>
      </w:r>
      <w:r w:rsidRPr="00B365F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1719E8">
        <w:t>–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№1.</w:t>
      </w:r>
      <w:r w:rsidRPr="00B365F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С.79-84.</w:t>
      </w:r>
    </w:p>
    <w:p w:rsidR="00E11CAA" w:rsidRPr="0072782E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Роль кандидозной инфекции у детей с гемобластозами / A.C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65F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Колбин., С.Д.</w:t>
      </w:r>
      <w:r w:rsidRPr="00B365F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Попов, Э.Г.</w:t>
      </w:r>
      <w:r w:rsidRPr="00B365F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Бойченко </w:t>
      </w:r>
      <w:r w:rsidRPr="00B365F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07DF">
        <w:rPr>
          <w:rFonts w:ascii="Times New Roman" w:hAnsi="Times New Roman" w:cs="Times New Roman"/>
          <w:sz w:val="28"/>
          <w:szCs w:val="28"/>
        </w:rPr>
        <w:t>др.</w:t>
      </w:r>
      <w:r w:rsidRPr="00B365FF">
        <w:rPr>
          <w:rFonts w:ascii="Times New Roman" w:hAnsi="Times New Roman" w:cs="Times New Roman"/>
          <w:sz w:val="28"/>
          <w:szCs w:val="28"/>
        </w:rPr>
        <w:t>] //</w:t>
      </w:r>
      <w:r w:rsidRPr="006E07DF">
        <w:rPr>
          <w:rFonts w:ascii="Times New Roman" w:hAnsi="Times New Roman" w:cs="Times New Roman"/>
          <w:sz w:val="28"/>
          <w:szCs w:val="28"/>
        </w:rPr>
        <w:t xml:space="preserve"> Гематология и т</w:t>
      </w:r>
      <w:r>
        <w:rPr>
          <w:rFonts w:ascii="Times New Roman" w:hAnsi="Times New Roman" w:cs="Times New Roman"/>
          <w:sz w:val="28"/>
          <w:szCs w:val="28"/>
        </w:rPr>
        <w:t>рансфузиология.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/>
          <w:i/>
          <w:color w:val="000000"/>
          <w:sz w:val="28"/>
          <w:szCs w:val="28"/>
          <w:lang w:val="uk-UA"/>
        </w:rPr>
        <w:t>─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1999.</w:t>
      </w:r>
      <w:r w:rsidRPr="00B365F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</w:rPr>
        <w:t>Т.44, №6.</w:t>
      </w:r>
      <w:r w:rsidRPr="00B365F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1719E8">
        <w:t>–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С.29-30.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Cannon R.</w:t>
      </w:r>
      <w:r w:rsidRPr="00975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Oral colonization by Candida albicans / R.</w:t>
      </w:r>
      <w:r w:rsidRPr="00975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Cannon, W.L.</w:t>
      </w:r>
      <w:r w:rsidRPr="00975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fin // Crit. Rev. Oral Biol. Med. </w:t>
      </w:r>
      <w:r w:rsidR="006F47C6" w:rsidRPr="001719E8">
        <w:t>–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1999</w:t>
      </w:r>
      <w:r w:rsidRPr="00975E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75ED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N10.</w:t>
      </w:r>
      <w:r w:rsidRPr="00975ED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Р.359-383.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 xml:space="preserve">Ancarani F.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Incidence and Prevalence of Candida Non-aibicans in Oral Can</w:t>
      </w:r>
      <w:r>
        <w:rPr>
          <w:rFonts w:ascii="Times New Roman" w:hAnsi="Times New Roman" w:cs="Times New Roman"/>
          <w:sz w:val="28"/>
          <w:szCs w:val="28"/>
          <w:lang w:val="en-US"/>
        </w:rPr>
        <w:t>dida Infections</w:t>
      </w:r>
      <w:r w:rsidRPr="00975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975E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75E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/>
        </w:rPr>
        <w:t>Ancarani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975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Clinician</w:t>
      </w:r>
      <w:r w:rsidRPr="00975E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75ED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6F47C6">
        <w:rPr>
          <w:lang w:val="en-US"/>
        </w:rPr>
        <w:t>–</w:t>
      </w:r>
      <w:r w:rsidRPr="006F47C6">
        <w:rPr>
          <w:rFonts w:ascii="Times New Roman" w:hAnsi="Times New Roman" w:cs="Times New Roman"/>
          <w:sz w:val="28"/>
          <w:szCs w:val="28"/>
          <w:lang w:val="en-US"/>
        </w:rPr>
        <w:t xml:space="preserve"> 1993.</w:t>
      </w:r>
      <w:r w:rsidRPr="00975ED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6F47C6">
        <w:rPr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6F47C6">
        <w:rPr>
          <w:rFonts w:ascii="Times New Roman" w:hAnsi="Times New Roman" w:cs="Times New Roman"/>
          <w:sz w:val="28"/>
          <w:szCs w:val="28"/>
          <w:lang w:val="en-US"/>
        </w:rPr>
        <w:t xml:space="preserve">.11,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47C6">
        <w:rPr>
          <w:rFonts w:ascii="Times New Roman" w:hAnsi="Times New Roman" w:cs="Times New Roman"/>
          <w:sz w:val="28"/>
          <w:szCs w:val="28"/>
          <w:lang w:val="en-US"/>
        </w:rPr>
        <w:t xml:space="preserve"> 7.</w:t>
      </w:r>
      <w:r w:rsidRPr="00975ED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6F47C6">
        <w:rPr>
          <w:lang w:val="en-US"/>
        </w:rPr>
        <w:t>–</w:t>
      </w:r>
      <w:r w:rsidRPr="006F4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5EDB">
        <w:rPr>
          <w:rFonts w:ascii="Times New Roman" w:hAnsi="Times New Roman" w:cs="Times New Roman"/>
          <w:sz w:val="28"/>
          <w:szCs w:val="28"/>
        </w:rPr>
        <w:t>Р</w:t>
      </w:r>
      <w:r w:rsidRPr="006F47C6">
        <w:rPr>
          <w:rFonts w:ascii="Times New Roman" w:hAnsi="Times New Roman" w:cs="Times New Roman"/>
          <w:sz w:val="28"/>
          <w:szCs w:val="28"/>
          <w:lang w:val="en-US"/>
        </w:rPr>
        <w:t>.6-9.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Митюшкина Т.А. Значение микробиологических исследований для повышения эффективности профилактики и лечения инфекций у и</w:t>
      </w:r>
      <w:r w:rsidRPr="006E07DF">
        <w:rPr>
          <w:rFonts w:ascii="Times New Roman" w:hAnsi="Times New Roman" w:cs="Times New Roman"/>
          <w:sz w:val="28"/>
          <w:szCs w:val="28"/>
        </w:rPr>
        <w:t>м</w:t>
      </w:r>
      <w:r w:rsidRPr="006E07DF">
        <w:rPr>
          <w:rFonts w:ascii="Times New Roman" w:hAnsi="Times New Roman" w:cs="Times New Roman"/>
          <w:sz w:val="28"/>
          <w:szCs w:val="28"/>
        </w:rPr>
        <w:t>мунокомпрометированных больных / Т.А.</w:t>
      </w:r>
      <w:r w:rsidRPr="005C51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Митюшкина, Н.В.</w:t>
      </w:r>
      <w:r w:rsidRPr="005C51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Овечк</w:t>
      </w:r>
      <w:r w:rsidRPr="006E07DF">
        <w:rPr>
          <w:rFonts w:ascii="Times New Roman" w:hAnsi="Times New Roman" w:cs="Times New Roman"/>
          <w:sz w:val="28"/>
          <w:szCs w:val="28"/>
        </w:rPr>
        <w:t>и</w:t>
      </w:r>
      <w:r w:rsidRPr="006E07DF">
        <w:rPr>
          <w:rFonts w:ascii="Times New Roman" w:hAnsi="Times New Roman" w:cs="Times New Roman"/>
          <w:sz w:val="28"/>
          <w:szCs w:val="28"/>
        </w:rPr>
        <w:t>на, Т.Г.</w:t>
      </w:r>
      <w:r w:rsidRPr="005C51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Кац</w:t>
      </w:r>
      <w:r>
        <w:rPr>
          <w:rFonts w:ascii="Times New Roman" w:hAnsi="Times New Roman" w:cs="Times New Roman"/>
          <w:sz w:val="28"/>
          <w:szCs w:val="28"/>
        </w:rPr>
        <w:t xml:space="preserve">  // Гематология</w:t>
      </w:r>
      <w:r w:rsidRPr="006E07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трансфузиология.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1998. </w:t>
      </w:r>
      <w:r w:rsidR="006F47C6" w:rsidRPr="001719E8">
        <w:t>–</w:t>
      </w:r>
      <w:r w:rsidR="006F47C6"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Т.43. </w:t>
      </w:r>
      <w:r w:rsidR="006F47C6" w:rsidRPr="001719E8">
        <w:t>–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№6. </w:t>
      </w:r>
      <w:r w:rsidR="006F47C6" w:rsidRPr="001719E8">
        <w:t>–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С.21-25.</w:t>
      </w:r>
      <w:bookmarkStart w:id="2" w:name="bookmark38"/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Инфекции грибковой этиологии в онкологической клинике / А.З.</w:t>
      </w:r>
      <w:r w:rsidRPr="005C51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Смолянская, О.М.</w:t>
      </w:r>
      <w:r w:rsidRPr="005C51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Дронова, Н.В.</w:t>
      </w:r>
      <w:r w:rsidRPr="005C51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Дмитриева </w:t>
      </w:r>
      <w:r w:rsidRPr="005C5112">
        <w:rPr>
          <w:rFonts w:ascii="Times New Roman" w:hAnsi="Times New Roman" w:cs="Times New Roman"/>
          <w:sz w:val="28"/>
          <w:szCs w:val="28"/>
        </w:rPr>
        <w:t>[</w:t>
      </w:r>
      <w:r w:rsidRPr="006E07DF">
        <w:rPr>
          <w:rFonts w:ascii="Times New Roman" w:hAnsi="Times New Roman" w:cs="Times New Roman"/>
          <w:sz w:val="28"/>
          <w:szCs w:val="28"/>
        </w:rPr>
        <w:t>и др.</w:t>
      </w:r>
      <w:r w:rsidRPr="005C5112">
        <w:rPr>
          <w:rFonts w:ascii="Times New Roman" w:hAnsi="Times New Roman" w:cs="Times New Roman"/>
          <w:sz w:val="28"/>
          <w:szCs w:val="28"/>
        </w:rPr>
        <w:t>]</w:t>
      </w:r>
      <w:r w:rsidRPr="006E07DF">
        <w:rPr>
          <w:rFonts w:ascii="Times New Roman" w:hAnsi="Times New Roman" w:cs="Times New Roman"/>
          <w:sz w:val="28"/>
          <w:szCs w:val="28"/>
        </w:rPr>
        <w:t xml:space="preserve"> // Клин</w:t>
      </w:r>
      <w:r>
        <w:rPr>
          <w:rFonts w:ascii="Times New Roman" w:hAnsi="Times New Roman" w:cs="Times New Roman"/>
          <w:sz w:val="28"/>
          <w:szCs w:val="28"/>
        </w:rPr>
        <w:t>ич</w:t>
      </w:r>
      <w:r w:rsidRPr="006E07DF">
        <w:rPr>
          <w:rFonts w:ascii="Times New Roman" w:hAnsi="Times New Roman" w:cs="Times New Roman"/>
          <w:sz w:val="28"/>
          <w:szCs w:val="28"/>
        </w:rPr>
        <w:t>. лаб. ди</w:t>
      </w:r>
      <w:r w:rsidRPr="006E07DF">
        <w:rPr>
          <w:rFonts w:ascii="Times New Roman" w:hAnsi="Times New Roman" w:cs="Times New Roman"/>
          <w:sz w:val="28"/>
          <w:szCs w:val="28"/>
        </w:rPr>
        <w:t>а</w:t>
      </w:r>
      <w:r w:rsidRPr="006E07DF">
        <w:rPr>
          <w:rFonts w:ascii="Times New Roman" w:hAnsi="Times New Roman" w:cs="Times New Roman"/>
          <w:sz w:val="28"/>
          <w:szCs w:val="28"/>
        </w:rPr>
        <w:t xml:space="preserve">гностика.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1999.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№1.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С.30-32.</w:t>
      </w:r>
      <w:bookmarkEnd w:id="2"/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82E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Бобров А.П. Изменения слизистой оболочки полости рта у онколог</w:t>
      </w:r>
      <w:r w:rsidRPr="006E07DF">
        <w:rPr>
          <w:rFonts w:ascii="Times New Roman" w:hAnsi="Times New Roman" w:cs="Times New Roman"/>
          <w:sz w:val="28"/>
          <w:szCs w:val="28"/>
        </w:rPr>
        <w:t>и</w:t>
      </w:r>
      <w:r w:rsidRPr="006E07DF">
        <w:rPr>
          <w:rFonts w:ascii="Times New Roman" w:hAnsi="Times New Roman" w:cs="Times New Roman"/>
          <w:sz w:val="28"/>
          <w:szCs w:val="28"/>
        </w:rPr>
        <w:t>ческих больных на фоне проводимой химиотерапии (обзор литерат</w:t>
      </w:r>
      <w:r w:rsidRPr="006E07DF">
        <w:rPr>
          <w:rFonts w:ascii="Times New Roman" w:hAnsi="Times New Roman" w:cs="Times New Roman"/>
          <w:sz w:val="28"/>
          <w:szCs w:val="28"/>
        </w:rPr>
        <w:t>у</w:t>
      </w:r>
      <w:r w:rsidRPr="006E07DF">
        <w:rPr>
          <w:rFonts w:ascii="Times New Roman" w:hAnsi="Times New Roman" w:cs="Times New Roman"/>
          <w:sz w:val="28"/>
          <w:szCs w:val="28"/>
        </w:rPr>
        <w:t>ры) / А.П.</w:t>
      </w:r>
      <w:r w:rsidRPr="005C51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Бобров, Т.Б.</w:t>
      </w:r>
      <w:r w:rsidRPr="005C51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Ткаченко // Стоматология.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2006.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№ 6. </w:t>
      </w:r>
      <w:r w:rsidR="006F47C6" w:rsidRPr="001719E8">
        <w:t>–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 70-73.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Lalla R.V. Oral Toxicity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/ R.V.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Lalla, D.E.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Peterson, M.T.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Brennan, M.M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Schubert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E3628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6F47C6">
        <w:rPr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The Chemotherapy Source Book. 4th ed.</w:t>
      </w:r>
      <w:r w:rsidRPr="00E3628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6F47C6">
        <w:rPr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Philadelphia: Li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pincott Williams and Wilkins, 2012. </w:t>
      </w:r>
      <w:r w:rsidR="006F47C6" w:rsidRPr="006F47C6">
        <w:rPr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115-135.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Lalla R.V. Management of oral mucositis in patients who have cancer  / R.V.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Lalla, S.T.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Sonis, D.E.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Peterson // Dent. Clin. North Am.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2012.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52,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1.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P. 61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softHyphen/>
        <w:t>77.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Chemotherapy-induced and/or radiation therapy-induced oral mucositis </w:t>
      </w:r>
      <w:r w:rsidR="006F47C6" w:rsidRPr="006F47C6">
        <w:rPr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complicating the treatment of cancer / M.U.R.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Naidu, G.V.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Ramana, P.U.</w:t>
      </w:r>
      <w:r w:rsidRPr="00E3628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Rani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// Neoplasia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2010. </w:t>
      </w:r>
      <w:r w:rsidR="006F47C6" w:rsidRPr="006F47C6">
        <w:rPr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6. </w:t>
      </w:r>
      <w:r w:rsidR="006F47C6" w:rsidRPr="006F47C6">
        <w:rPr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P. 423-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431.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3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О.В. Прогнозирование, профилактика и лечение осложнений в пол</w:t>
      </w:r>
      <w:r w:rsidRPr="006E07DF">
        <w:rPr>
          <w:rFonts w:ascii="Times New Roman" w:hAnsi="Times New Roman" w:cs="Times New Roman"/>
          <w:sz w:val="28"/>
          <w:szCs w:val="28"/>
        </w:rPr>
        <w:t>о</w:t>
      </w:r>
      <w:r w:rsidRPr="006E07DF">
        <w:rPr>
          <w:rFonts w:ascii="Times New Roman" w:hAnsi="Times New Roman" w:cs="Times New Roman"/>
          <w:sz w:val="28"/>
          <w:szCs w:val="28"/>
        </w:rPr>
        <w:t xml:space="preserve">сти рта у больных, получающих цитостатики и лучевую терапию: </w:t>
      </w:r>
      <w:r w:rsidRPr="00E36288">
        <w:rPr>
          <w:rFonts w:ascii="Times New Roman" w:hAnsi="Times New Roman" w:cs="Times New Roman"/>
          <w:sz w:val="28"/>
          <w:szCs w:val="28"/>
        </w:rPr>
        <w:t>а</w:t>
      </w:r>
      <w:r w:rsidRPr="006E07DF">
        <w:rPr>
          <w:rFonts w:ascii="Times New Roman" w:hAnsi="Times New Roman" w:cs="Times New Roman"/>
          <w:sz w:val="28"/>
          <w:szCs w:val="28"/>
        </w:rPr>
        <w:t>в</w:t>
      </w:r>
      <w:r w:rsidRPr="006E07DF">
        <w:rPr>
          <w:rFonts w:ascii="Times New Roman" w:hAnsi="Times New Roman" w:cs="Times New Roman"/>
          <w:sz w:val="28"/>
          <w:szCs w:val="28"/>
        </w:rPr>
        <w:t>тореф. дис.</w:t>
      </w:r>
      <w:r>
        <w:rPr>
          <w:rFonts w:ascii="Times New Roman" w:hAnsi="Times New Roman" w:cs="Times New Roman"/>
          <w:sz w:val="28"/>
          <w:szCs w:val="28"/>
        </w:rPr>
        <w:t xml:space="preserve">на соискание учен. степени  канд. мед. наук </w:t>
      </w:r>
      <w:r w:rsidRPr="00E36288">
        <w:rPr>
          <w:rFonts w:ascii="Times New Roman" w:hAnsi="Times New Roman" w:cs="Times New Roman"/>
          <w:sz w:val="28"/>
          <w:szCs w:val="28"/>
          <w:lang w:eastAsia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О.В. Иванова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</w:rPr>
        <w:t>Астрахань, 2001.</w:t>
      </w:r>
      <w:r w:rsidRPr="00C55A8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1719E8">
        <w:t>–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22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Peterson D.E. Oral toxicity</w:t>
      </w:r>
      <w:r w:rsidRPr="00C55A8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/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D.E.</w:t>
      </w:r>
      <w:r w:rsidRPr="00C55A8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Peterson</w:t>
      </w:r>
      <w:r w:rsidRPr="00C55A8A">
        <w:rPr>
          <w:rFonts w:ascii="Times New Roman" w:hAnsi="Times New Roman" w:cs="Times New Roman"/>
          <w:sz w:val="28"/>
          <w:szCs w:val="28"/>
          <w:lang w:val="en-US" w:eastAsia="en-US"/>
        </w:rPr>
        <w:t>,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M.M.</w:t>
      </w:r>
      <w:r w:rsidRPr="00C55A8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Schubert // The Chem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therapy Source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Book. Ed. Perry M.C., 3rd edit</w:t>
      </w:r>
      <w:r w:rsidRPr="00C55A8A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C55A8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6F47C6">
        <w:rPr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Philadelphia, Lip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pincott, Williams and Wilkins</w:t>
      </w:r>
      <w:r w:rsidRPr="00C97188">
        <w:rPr>
          <w:rFonts w:ascii="Times New Roman" w:hAnsi="Times New Roman" w:cs="Times New Roman"/>
          <w:sz w:val="28"/>
          <w:szCs w:val="28"/>
          <w:lang w:val="en-US" w:eastAsia="en-US"/>
        </w:rPr>
        <w:t>,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2011. </w:t>
      </w:r>
      <w:r w:rsidR="006F47C6" w:rsidRPr="006F47C6">
        <w:rPr>
          <w:lang w:val="en-US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406-424.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Perspectives on cancer therapy- induced mucosal injury. Pathogenesis, measurement, epidemiology, and consequences for patients / S.T.</w:t>
      </w:r>
      <w:r w:rsidRPr="00C55A8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Sonis, L.S</w:t>
      </w:r>
      <w:r w:rsidRPr="00C55A8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Elting., D.</w:t>
      </w:r>
      <w:r w:rsidRPr="00C55A8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Keefe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// Cancer.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2013. </w:t>
      </w:r>
      <w:r w:rsidR="006F47C6" w:rsidRPr="001719E8">
        <w:t>–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Vol. 100,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9.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P. 1995-2025.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Cancer Chemotherapy and Biotherapy: Principles and Practice.</w:t>
      </w:r>
      <w:r w:rsidRPr="00030E3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6F47C6" w:rsidRPr="006F47C6">
        <w:rPr>
          <w:lang w:val="en-US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5th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ed.</w:t>
      </w:r>
      <w:r w:rsidRPr="00030E36">
        <w:rPr>
          <w:rFonts w:ascii="Times New Roman" w:hAnsi="Times New Roman" w:cs="Times New Roman"/>
          <w:sz w:val="28"/>
          <w:szCs w:val="28"/>
          <w:lang w:val="en-US" w:eastAsia="de-DE"/>
        </w:rPr>
        <w:t>;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Eds.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B.A.</w:t>
      </w:r>
      <w:r w:rsidRPr="00030E3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Chabner, D.L</w:t>
      </w:r>
      <w:r w:rsidRPr="00030E36">
        <w:rPr>
          <w:rFonts w:ascii="Times New Roman" w:hAnsi="Times New Roman" w:cs="Times New Roman"/>
          <w:sz w:val="28"/>
          <w:szCs w:val="28"/>
          <w:lang w:val="en-US" w:eastAsia="de-DE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Longo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Philadelphia</w:t>
      </w:r>
      <w:r w:rsidRPr="00030E3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Baltimore</w:t>
      </w:r>
      <w:r w:rsidRPr="00030E3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New York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.: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Wolters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Kluwer Lippincott Williams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&amp;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Wilkins,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2014.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The burdens of cancer therapy. Clinical and economic outcomes of chem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therapy-induced mucositis / L.S.</w:t>
      </w:r>
      <w:r w:rsidRPr="00030E3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Elting, C.</w:t>
      </w:r>
      <w:r w:rsidRPr="00030E3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Cooksley, M.</w:t>
      </w:r>
      <w:r w:rsidRPr="00030E3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Chambers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Cancer.</w:t>
      </w:r>
      <w:r w:rsidRPr="00030E36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2013.</w:t>
      </w:r>
      <w:r w:rsidRPr="00030E36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Vol.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98,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4653D2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P.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1531-1539.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Pico J-L. Mucositis: its occurrence, consequences and treatment in oncol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gy settings/ J-L.</w:t>
      </w:r>
      <w:r w:rsidRPr="003128B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Pico, A.</w:t>
      </w:r>
      <w:r w:rsidRPr="003128B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Avila-Garavito, P. Naccache // Oncologist.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2008</w:t>
      </w:r>
      <w:r w:rsidR="006F47C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="006F47C6" w:rsidRPr="001719E8"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3.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446-451.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Oral mucositis and outcomes of allogeneic hematopoietic stem-cell tran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plantation in patients with hematologic malignancies / M.</w:t>
      </w:r>
      <w:r w:rsidRPr="003128B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Llonch, G.</w:t>
      </w:r>
      <w:r w:rsidRPr="003128B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Oster, C.M.</w:t>
      </w:r>
      <w:r w:rsidRPr="003128B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Ford, J.</w:t>
      </w:r>
      <w:r w:rsidRPr="003128B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Lu, S. Sonis // Support Care Cancer.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2011.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15,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P. 491-496.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Вильчевская Е.В. Токсическое действие средних доз метотрексата прилечении детей, больных острым лимфобластным лейкозом</w:t>
      </w:r>
      <w:r w:rsidRPr="0045047B">
        <w:rPr>
          <w:rFonts w:ascii="Times New Roman" w:hAnsi="Times New Roman" w:cs="Times New Roman"/>
          <w:sz w:val="28"/>
          <w:szCs w:val="28"/>
        </w:rPr>
        <w:t xml:space="preserve"> </w:t>
      </w:r>
      <w:r w:rsidRPr="0045047B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45047B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Е.В.</w:t>
      </w:r>
      <w:r w:rsidRPr="0045047B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Вильчевская  // Онкология.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 xml:space="preserve">2002.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Т.4, № 3.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 212-214. 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Алейникова О.В. Высокодозная химиотерапия с аутологичной тран</w:t>
      </w:r>
      <w:r w:rsidRPr="006E07DF">
        <w:rPr>
          <w:rFonts w:ascii="Times New Roman" w:hAnsi="Times New Roman" w:cs="Times New Roman"/>
          <w:sz w:val="28"/>
          <w:szCs w:val="28"/>
        </w:rPr>
        <w:t>с</w:t>
      </w:r>
      <w:r w:rsidRPr="006E07DF">
        <w:rPr>
          <w:rFonts w:ascii="Times New Roman" w:hAnsi="Times New Roman" w:cs="Times New Roman"/>
          <w:sz w:val="28"/>
          <w:szCs w:val="28"/>
        </w:rPr>
        <w:t>плантацией костного мозга у детей группы высокого риска со злокач</w:t>
      </w:r>
      <w:r w:rsidRPr="006E07DF">
        <w:rPr>
          <w:rFonts w:ascii="Times New Roman" w:hAnsi="Times New Roman" w:cs="Times New Roman"/>
          <w:sz w:val="28"/>
          <w:szCs w:val="28"/>
        </w:rPr>
        <w:t>е</w:t>
      </w:r>
      <w:r w:rsidRPr="006E07DF">
        <w:rPr>
          <w:rFonts w:ascii="Times New Roman" w:hAnsi="Times New Roman" w:cs="Times New Roman"/>
          <w:sz w:val="28"/>
          <w:szCs w:val="28"/>
        </w:rPr>
        <w:t>ственными новообразованиями/ О.В</w:t>
      </w:r>
      <w:r w:rsidRPr="0045047B">
        <w:rPr>
          <w:rFonts w:ascii="Times New Roman" w:hAnsi="Times New Roman" w:cs="Times New Roman"/>
          <w:sz w:val="28"/>
          <w:szCs w:val="28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>Алейникова, Ю.С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47B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Стронгин, </w:t>
      </w:r>
      <w:r w:rsidRPr="006E07DF">
        <w:rPr>
          <w:rFonts w:ascii="Times New Roman" w:hAnsi="Times New Roman" w:cs="Times New Roman"/>
          <w:sz w:val="28"/>
          <w:szCs w:val="28"/>
        </w:rPr>
        <w:lastRenderedPageBreak/>
        <w:t>К.В.</w:t>
      </w:r>
      <w:r w:rsidRPr="0045047B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Почертухин // Вопросы онкологии.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2002.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Т. 48, № 3.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 327-330.</w:t>
      </w:r>
    </w:p>
    <w:p w:rsidR="00E11CAA" w:rsidRPr="002E6CB8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718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Histologic response of rat oral tissues to nonoral tumor growth and to ca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cer chemotherapeutic agents. II. Tongue, salivary glands, and oral mucosa / P.</w:t>
      </w:r>
      <w:r w:rsidRPr="002E6CB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Person, S.S.</w:t>
      </w:r>
      <w:r w:rsidRPr="002E6CB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Stahl, M.L.</w:t>
      </w:r>
      <w:r w:rsidRPr="002E6CB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Crossley, J.B.</w:t>
      </w:r>
      <w:r w:rsidRPr="002E6CB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Allison // Oral Surg. Oral Med. Oral Pathol.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1999.</w:t>
      </w:r>
      <w:r w:rsidRPr="00381282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Vol.10.</w:t>
      </w:r>
      <w:r w:rsidRPr="00381282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1075-1080.</w:t>
      </w:r>
    </w:p>
    <w:p w:rsidR="00E11CAA" w:rsidRPr="0069280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An animal model for mucositis induced by cancer chemotherapy / S.T.</w:t>
      </w:r>
      <w:r w:rsidRPr="0038128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nis, C.</w:t>
      </w:r>
      <w:r w:rsidRPr="0038128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Tracey, G.</w:t>
      </w:r>
      <w:r w:rsidRPr="0038128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Shklar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// Oral Surg. Oral Med. Oral Pathol.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2000.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69.</w:t>
      </w:r>
      <w:r w:rsidRPr="00381282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437-443.</w:t>
      </w:r>
    </w:p>
    <w:p w:rsidR="00E11CAA" w:rsidRPr="0028232A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Dorr W. Response of mouse tongue epithelium to single doses of bleom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y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cin and radiation / W.</w:t>
      </w:r>
      <w:r w:rsidRPr="00011A9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Dorr, E.</w:t>
      </w:r>
      <w:r w:rsidRPr="00011A9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Hirler, M.</w:t>
      </w:r>
      <w:r w:rsidRPr="00011A9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Honig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Radiother. Oncol.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2003.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Vol. 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P. 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>36-45.</w:t>
      </w:r>
    </w:p>
    <w:p w:rsidR="00E11CAA" w:rsidRPr="0028232A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Dorr W. Response of mouse oral mucosa to repeated doses of bleomycin / W.</w:t>
      </w:r>
      <w:r w:rsidRPr="00011A9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Dorr, M.</w:t>
      </w:r>
      <w:r w:rsidRPr="00011A9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Honig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Eur. J. Cancer. B. Oral Oncol.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2004.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Vol. </w:t>
      </w:r>
      <w:r w:rsidRPr="006E07DF">
        <w:rPr>
          <w:rFonts w:ascii="Times New Roman" w:hAnsi="Times New Roman" w:cs="Times New Roman"/>
          <w:sz w:val="28"/>
          <w:szCs w:val="28"/>
        </w:rPr>
        <w:t>ЗОВ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P. 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>312-318.</w:t>
      </w:r>
    </w:p>
    <w:p w:rsidR="00E11CAA" w:rsidRPr="00011A9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Lockhart P.B. Alterations in the oral mucosa caused by chemotherapeutic agents. A histologic study/ P.B</w:t>
      </w:r>
      <w:r w:rsidRPr="00011A9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Lockhart, S.T.</w:t>
      </w:r>
      <w:r w:rsidRPr="00011A9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Sonis  // J. Dermatol. Surg. Oncol.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1999.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Vol. 7,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12.</w:t>
      </w:r>
      <w:r w:rsidRPr="00011A9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1019-1025.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Nuclear factor- kappaB (</w:t>
      </w:r>
      <w:r w:rsidRPr="006E07DF">
        <w:rPr>
          <w:rStyle w:val="af4"/>
          <w:rFonts w:eastAsiaTheme="minorEastAsia"/>
        </w:rPr>
        <w:t>NFkB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and cyclooxygenase-2 (COX-2 expression in the oral mucosa following cancer chemotherapy / R.M.</w:t>
      </w:r>
      <w:r w:rsidRPr="0028271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Logan, R.J.</w:t>
      </w:r>
      <w:r w:rsidRPr="0028271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Gi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b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son, S.T.</w:t>
      </w:r>
      <w:r w:rsidRPr="0028271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Sonis, D.M.K. Keefe // Oral Oncol.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282719">
        <w:rPr>
          <w:rFonts w:ascii="Times New Roman" w:hAnsi="Times New Roman" w:cs="Times New Roman"/>
          <w:sz w:val="28"/>
          <w:szCs w:val="28"/>
          <w:lang w:val="en-US" w:eastAsia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2013.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43.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282719">
        <w:rPr>
          <w:rFonts w:ascii="Times New Roman" w:hAnsi="Times New Roman" w:cs="Times New Roman"/>
          <w:sz w:val="28"/>
          <w:szCs w:val="28"/>
          <w:lang w:val="en-US" w:eastAsia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395-401.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Is the pathobiology of chemotherapy-induced alimentary tract mucositis i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fluenced by the type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of mucotoxic drug administered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/ R.</w:t>
      </w:r>
      <w:r w:rsidRPr="0028271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Logan, A.</w:t>
      </w:r>
      <w:r w:rsidRPr="0028271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Strin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g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er, J.M</w:t>
      </w:r>
      <w:r w:rsidRPr="0028271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Bowen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// Cancer Chemother. Pharmacol.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2014.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63.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239-251.</w:t>
      </w:r>
    </w:p>
    <w:p w:rsidR="00E11CAA" w:rsidRPr="0028232A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Apoptosis occurs early in the basal layer of the oral mucosa following ca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cer chemotherapy/ R.J.</w:t>
      </w:r>
      <w:r w:rsidRPr="0028271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Gibson, A.G.</w:t>
      </w:r>
      <w:r w:rsidRPr="0028271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Cummins, J.M.</w:t>
      </w:r>
      <w:r w:rsidRPr="0028271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Bowen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// Asia-Pac. J. Clin. Oncol.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2010.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–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N.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39-49.</w:t>
      </w:r>
    </w:p>
    <w:p w:rsidR="00E11CAA" w:rsidRPr="0098507F" w:rsidRDefault="008F1A1D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98507F">
        <w:rPr>
          <w:rFonts w:ascii="Times New Roman" w:hAnsi="Times New Roman" w:cs="Times New Roman"/>
          <w:sz w:val="28"/>
          <w:szCs w:val="28"/>
          <w:lang w:eastAsia="en-US"/>
        </w:rPr>
        <w:t xml:space="preserve">Моисеев С.И. Современные принципы диагностики и лечения острых лейкозов: Пособие </w:t>
      </w:r>
      <w:r w:rsidR="0098507F" w:rsidRPr="0098507F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98507F">
        <w:rPr>
          <w:rFonts w:ascii="Times New Roman" w:hAnsi="Times New Roman" w:cs="Times New Roman"/>
          <w:sz w:val="28"/>
          <w:szCs w:val="28"/>
          <w:lang w:eastAsia="en-US"/>
        </w:rPr>
        <w:t xml:space="preserve">С.И. Моисеев </w:t>
      </w:r>
      <w:r w:rsidR="0098507F" w:rsidRPr="0098507F">
        <w:rPr>
          <w:rFonts w:ascii="Times New Roman" w:hAnsi="Times New Roman" w:cs="Times New Roman"/>
          <w:sz w:val="28"/>
          <w:szCs w:val="28"/>
          <w:lang w:eastAsia="en-US"/>
        </w:rPr>
        <w:t>//</w:t>
      </w:r>
      <w:r w:rsidR="0098507F">
        <w:rPr>
          <w:rFonts w:ascii="Times New Roman" w:hAnsi="Times New Roman" w:cs="Times New Roman"/>
          <w:sz w:val="28"/>
          <w:szCs w:val="28"/>
          <w:lang w:eastAsia="en-US"/>
        </w:rPr>
        <w:t xml:space="preserve"> С. – Петерб.гос. мед. ун</w:t>
      </w:r>
      <w:r w:rsidR="001E40B7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98507F">
        <w:rPr>
          <w:rFonts w:ascii="Times New Roman" w:hAnsi="Times New Roman" w:cs="Times New Roman"/>
          <w:sz w:val="28"/>
          <w:szCs w:val="28"/>
          <w:lang w:eastAsia="en-US"/>
        </w:rPr>
        <w:t xml:space="preserve"> т им</w:t>
      </w:r>
      <w:r w:rsidR="001E40B7">
        <w:rPr>
          <w:rFonts w:ascii="Times New Roman" w:hAnsi="Times New Roman" w:cs="Times New Roman"/>
          <w:sz w:val="28"/>
          <w:szCs w:val="28"/>
          <w:lang w:eastAsia="en-US"/>
        </w:rPr>
        <w:t>. Павлова. – СПб.: Изд-во СПбГМУ, 2005. – 62 с.</w:t>
      </w:r>
    </w:p>
    <w:p w:rsidR="00E11CAA" w:rsidRPr="0028232A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90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The role of proinflammatory cytokines in cancer treatment-induced alime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tary tract mucositis: pathobiology, animal models and cytotoxic drugs / R.M.</w:t>
      </w:r>
      <w:r w:rsidRPr="005432B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Logan, A.M.</w:t>
      </w:r>
      <w:r w:rsidRPr="005432B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Stringer, J.M.</w:t>
      </w:r>
      <w:r w:rsidRPr="005432B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Bowen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// Cancer Treat. Rev. </w:t>
      </w:r>
      <w:r w:rsidRPr="008F1A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2010. </w:t>
      </w:r>
      <w:r w:rsidRPr="008F1A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33,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5.</w:t>
      </w:r>
      <w:r w:rsidRPr="008F1A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448-460.</w:t>
      </w:r>
    </w:p>
    <w:p w:rsidR="00E11CAA" w:rsidRPr="007648E5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B1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Пристман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химиотерапия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злокачественных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оп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холей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8E5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Пристман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пер.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англ.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Гарина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Москва:</w:t>
      </w:r>
      <w:r w:rsidRPr="00050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медицина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2011. –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648E5">
        <w:rPr>
          <w:rFonts w:ascii="Times New Roman" w:hAnsi="Times New Roman" w:cs="Times New Roman"/>
          <w:sz w:val="28"/>
          <w:szCs w:val="28"/>
          <w:shd w:val="clear" w:color="auto" w:fill="FFFFFF"/>
        </w:rPr>
        <w:t>.23-29.</w:t>
      </w:r>
    </w:p>
    <w:p w:rsidR="00E11CAA" w:rsidRPr="006E07DF" w:rsidRDefault="00FF1A8E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439D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5-Fluorouracil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induces</w:t>
      </w:r>
      <w:r w:rsidR="00E11CAA"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autophagic</w:t>
      </w:r>
      <w:r w:rsidR="00E11CAA"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degeneration</w:t>
      </w:r>
      <w:r w:rsidR="00E11CAA"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in</w:t>
      </w:r>
      <w:r w:rsidR="00E11CAA"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rat</w:t>
      </w:r>
      <w:r w:rsidR="00E11CAA"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oral</w:t>
      </w:r>
      <w:r w:rsidR="00E11CAA"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keratinocytes</w:t>
      </w:r>
      <w:r w:rsidR="00E11CAA"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/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E11CAA" w:rsidRPr="00050C5F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="00E11CAA" w:rsidRPr="00050C5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>Bültzingslöwen</w:t>
      </w:r>
      <w:r w:rsidR="00E11CAA"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M</w:t>
      </w:r>
      <w:r w:rsidR="00E11CAA" w:rsidRPr="00050C5F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="00E11CAA" w:rsidRPr="00050C5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>Jonteil</w:t>
      </w:r>
      <w:r w:rsidR="00E11CAA"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Hurst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="00E11CAA">
        <w:rPr>
          <w:rFonts w:ascii="Times New Roman" w:hAnsi="Times New Roman" w:cs="Times New Roman"/>
          <w:sz w:val="28"/>
          <w:szCs w:val="28"/>
          <w:lang w:val="en-US" w:eastAsia="de-DE"/>
        </w:rPr>
        <w:t>[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et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al.</w:t>
      </w:r>
      <w:r w:rsidR="00E11CAA"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//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Oral Oncol. </w:t>
      </w:r>
      <w:r w:rsidR="00E11CAA"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2011. </w:t>
      </w:r>
      <w:r w:rsidR="00E11CAA"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Vol.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37, </w:t>
      </w:r>
      <w:r w:rsidR="00E11CAA">
        <w:rPr>
          <w:rFonts w:ascii="Times New Roman" w:hAnsi="Times New Roman" w:cs="Times New Roman"/>
          <w:sz w:val="28"/>
          <w:szCs w:val="28"/>
          <w:lang w:val="de-DE" w:eastAsia="de-DE"/>
        </w:rPr>
        <w:t>N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6. </w:t>
      </w:r>
      <w:r w:rsidR="00E11CAA"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P.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>537-544.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Role of nitric oxide on pathogenesis of 5-fluorouracil induced experimental oral mucositis in hamste / R.F.C.</w:t>
      </w:r>
      <w:r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Leitao, R.A.</w:t>
      </w:r>
      <w:r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Ribeiro, E.A.L.</w:t>
      </w:r>
      <w:r w:rsidRPr="00050C5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Bellaguarda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]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// Cancer Chemother. Pharmacol. </w:t>
      </w:r>
      <w:r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2014. </w:t>
      </w:r>
      <w:r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Vol. 59. </w:t>
      </w:r>
      <w:r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P. 603-612.</w:t>
      </w:r>
    </w:p>
    <w:p w:rsidR="00E11CAA" w:rsidRPr="006E07DF" w:rsidRDefault="00FF1A8E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A8E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Phase I study of transforming growth factor-beta 3 mouthwashes for pr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vention of chemotherapy induced mucositis / A.N.</w:t>
      </w:r>
      <w:r w:rsidR="00E11CAA" w:rsidRPr="00551A7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Wymenga, van der W.T.</w:t>
      </w:r>
      <w:r w:rsidR="00E11CAA" w:rsidRPr="00551A7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Graaf, L.S. Hofstra </w:t>
      </w:r>
      <w:r w:rsidR="00E11CAA">
        <w:rPr>
          <w:rFonts w:ascii="Times New Roman" w:hAnsi="Times New Roman" w:cs="Times New Roman"/>
          <w:sz w:val="28"/>
          <w:szCs w:val="28"/>
          <w:lang w:val="en-US" w:eastAsia="en-US"/>
        </w:rPr>
        <w:t>[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>et al.</w:t>
      </w:r>
      <w:r w:rsidR="00E11CAA"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// Clin. Cancer Res. </w:t>
      </w:r>
      <w:r w:rsidR="00E11CAA"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="00E11CAA">
        <w:rPr>
          <w:rFonts w:ascii="Times New Roman" w:hAnsi="Times New Roman" w:cs="Times New Roman"/>
          <w:sz w:val="28"/>
          <w:szCs w:val="28"/>
          <w:lang w:val="en-US" w:eastAsia="en-US"/>
        </w:rPr>
        <w:t>2006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="00E11CAA"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E11CAA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5. </w:t>
      </w:r>
      <w:r w:rsidR="00E11CAA"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="00E11CAA"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P. 1363-1368.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A new in vitro assay of quantitation of chemotherapy induced mucositis / A.N.</w:t>
      </w:r>
      <w:r w:rsidRPr="00551A7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Wymenga, van der W.T.</w:t>
      </w:r>
      <w:r w:rsidRPr="00551A7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Graaf, F.L.</w:t>
      </w:r>
      <w:r w:rsidRPr="003022D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Spijkervet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// Br. J. Cancer. </w:t>
      </w:r>
      <w:r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2008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Pr="006E07DF">
        <w:rPr>
          <w:rStyle w:val="1pt"/>
          <w:rFonts w:eastAsiaTheme="minorEastAsia"/>
        </w:rPr>
        <w:t>8.</w:t>
      </w:r>
      <w:r w:rsidRPr="00302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50C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Style w:val="1pt"/>
          <w:rFonts w:eastAsiaTheme="minorEastAsia"/>
        </w:rPr>
        <w:t>P.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1062-1066.</w:t>
      </w:r>
    </w:p>
    <w:p w:rsidR="00E11CAA" w:rsidRPr="00D33C17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C97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Влияние цитостатиков и кортикостероидов на фагоцитарную и фу</w:t>
      </w:r>
      <w:r w:rsidRPr="006E07DF">
        <w:rPr>
          <w:rFonts w:ascii="Times New Roman" w:hAnsi="Times New Roman" w:cs="Times New Roman"/>
          <w:sz w:val="28"/>
          <w:szCs w:val="28"/>
        </w:rPr>
        <w:t>н</w:t>
      </w:r>
      <w:r w:rsidRPr="006E07DF">
        <w:rPr>
          <w:rFonts w:ascii="Times New Roman" w:hAnsi="Times New Roman" w:cs="Times New Roman"/>
          <w:sz w:val="28"/>
          <w:szCs w:val="28"/>
        </w:rPr>
        <w:t>гицидную активность нейтрофильных гранулоцитов / Е.Н.</w:t>
      </w:r>
      <w:r w:rsidRPr="00D33C17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Пахомова, М.И.</w:t>
      </w:r>
      <w:r w:rsidRPr="00D33C17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Полякова,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B</w:t>
      </w:r>
      <w:r w:rsidRPr="006E07D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JL</w:t>
      </w:r>
      <w:r w:rsidRPr="00D33C17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Быков</w:t>
      </w:r>
      <w:r w:rsidRPr="006E07D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6E07DF">
        <w:rPr>
          <w:rFonts w:ascii="Times New Roman" w:hAnsi="Times New Roman" w:cs="Times New Roman"/>
          <w:sz w:val="28"/>
          <w:szCs w:val="28"/>
        </w:rPr>
        <w:t>З.О. Караев</w:t>
      </w:r>
      <w:r>
        <w:rPr>
          <w:rFonts w:ascii="Times New Roman" w:hAnsi="Times New Roman" w:cs="Times New Roman"/>
          <w:sz w:val="28"/>
          <w:szCs w:val="28"/>
        </w:rPr>
        <w:t xml:space="preserve"> // Журнал микробиологии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1991.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№2.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3C17">
        <w:rPr>
          <w:rStyle w:val="1pt"/>
          <w:rFonts w:eastAsiaTheme="minorEastAsia"/>
          <w:lang w:val="ru-RU"/>
        </w:rPr>
        <w:t>С.</w:t>
      </w:r>
      <w:r w:rsidRPr="006E07DF">
        <w:rPr>
          <w:rFonts w:ascii="Times New Roman" w:hAnsi="Times New Roman" w:cs="Times New Roman"/>
          <w:sz w:val="28"/>
          <w:szCs w:val="28"/>
        </w:rPr>
        <w:t xml:space="preserve"> 66-68.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71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Hand A.R. Morphological features of the minor salivary glands  / A.R.</w:t>
      </w:r>
      <w:r w:rsidRPr="00D33C1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Hand, D.</w:t>
      </w:r>
      <w:r w:rsidRPr="00D33C1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Pathmanathan, R.B.</w:t>
      </w:r>
      <w:r w:rsidRPr="00D33C1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Field // Arch. Oral Biol.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2009.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44, Suppl. 1.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P. S3-S10.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Secretion rate from minor salivary glands in patients with malignant ha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matological diseases receiving chemotherapy</w:t>
      </w:r>
      <w:r w:rsidR="006F47C6" w:rsidRPr="006F47C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6F47C6" w:rsidRPr="006F47C6">
        <w:rPr>
          <w:lang w:val="en-US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a pilot study/ J</w:t>
      </w:r>
      <w:r w:rsidRPr="00D33C1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Blomgren, S</w:t>
      </w:r>
      <w:r w:rsidRPr="00D33C1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Jansson</w:t>
      </w:r>
      <w:r w:rsidRPr="00D33C17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, S</w:t>
      </w:r>
      <w:r w:rsidRPr="00D33C1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Rodjer, D</w:t>
      </w:r>
      <w:r w:rsidRPr="00D33C1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Birkhed // Swed. Dent. J. </w:t>
      </w:r>
      <w:r w:rsidRPr="006F47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2009. </w:t>
      </w:r>
      <w:r w:rsidRPr="006F47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26,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2. </w:t>
      </w:r>
      <w:r w:rsidRPr="006F47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75 - 80.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Sonis S.T. The biologic role for nuclear factor-kappaB in disease and its potential involvement in mucosal injury associated with anti-neoplastic therapy /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S.T.</w:t>
      </w:r>
      <w:r w:rsidRPr="00997265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Sonis // Crit. Rev. Oral Biol. Med.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2010.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13,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5.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P. 380-389.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Ara-C induces apoptosis in monkey fibroblast cells / S.</w:t>
      </w:r>
      <w:r w:rsidRPr="00EC21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Manakova, K.A.</w:t>
      </w:r>
      <w:r w:rsidRPr="00EC21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Puttonen, A.</w:t>
      </w:r>
      <w:r w:rsidRPr="00EC21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Raasmaja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// Toxicol. In Vitro.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2003.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17. </w:t>
      </w:r>
      <w:r w:rsidRPr="00D33C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P. 367-673.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Pistorius A. Effects of selected immunosuppressive drugs on prostaglandin release, protein synthesis and cell proliferation in human gingival fibr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blasts and on the growth of plaque bacteria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/ A.</w:t>
      </w:r>
      <w:r w:rsidRPr="00EC21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Pistorius, B.</w:t>
      </w:r>
      <w:r w:rsidRPr="00EC21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Willershausen, A.</w:t>
      </w:r>
      <w:r w:rsidRPr="00EC21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Callaway</w:t>
      </w:r>
      <w:r w:rsidRPr="00EC21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// Eur. J. Med. Res.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2009.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Vol. 8,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1.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P. 25-32.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Bültzingslöwen I.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Macrophages, dendritic cells and T lymphocytes in rat buccal mucosa and dental pulp following 5-fluorouracil treatment /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I.</w:t>
      </w:r>
      <w:r w:rsidRPr="00EC21BD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Bül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t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zingslöwen, M.</w:t>
      </w:r>
      <w:r w:rsidRPr="00EC21BD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Jonteil //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Eur. J. Oral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Sei.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2005.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Vol.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107,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3.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P.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194-201.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Contributions of mucosal immune cells to metho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trexate-induced mucositis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/ De B.A.E.</w:t>
      </w:r>
      <w:r w:rsidRPr="00EC21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Koning, van J.M.</w:t>
      </w:r>
      <w:r w:rsidRPr="00EC21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Dieren, DJ.</w:t>
      </w:r>
      <w:r w:rsidRPr="00EC21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Lindenbergh-Kortleve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[[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Int. Immunol.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9280F">
        <w:rPr>
          <w:rFonts w:ascii="Times New Roman" w:hAnsi="Times New Roman" w:cs="Times New Roman"/>
          <w:sz w:val="28"/>
          <w:szCs w:val="28"/>
          <w:lang w:val="en-US"/>
        </w:rPr>
        <w:t xml:space="preserve"> 2012.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92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Vol. </w:t>
      </w:r>
      <w:r w:rsidRPr="0069280F">
        <w:rPr>
          <w:rFonts w:ascii="Times New Roman" w:hAnsi="Times New Roman" w:cs="Times New Roman"/>
          <w:sz w:val="28"/>
          <w:szCs w:val="28"/>
          <w:lang w:val="en-US"/>
        </w:rPr>
        <w:t xml:space="preserve">18,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280F">
        <w:rPr>
          <w:rFonts w:ascii="Times New Roman" w:hAnsi="Times New Roman" w:cs="Times New Roman"/>
          <w:sz w:val="28"/>
          <w:szCs w:val="28"/>
          <w:lang w:val="en-US"/>
        </w:rPr>
        <w:t xml:space="preserve"> 6.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P. </w:t>
      </w:r>
      <w:r w:rsidRPr="0069280F">
        <w:rPr>
          <w:rFonts w:ascii="Times New Roman" w:hAnsi="Times New Roman" w:cs="Times New Roman"/>
          <w:sz w:val="28"/>
          <w:szCs w:val="28"/>
          <w:lang w:val="en-US"/>
        </w:rPr>
        <w:t>941-949.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Baker D.G. The radiobiological basis for tissue reactions in the oral cavity foll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owing therapeutic x-irradiation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D.G. Baker</w:t>
      </w:r>
      <w:r w:rsidRPr="00795C82">
        <w:rPr>
          <w:rFonts w:ascii="Times New Roman" w:hAnsi="Times New Roman" w:cs="Times New Roman"/>
          <w:sz w:val="28"/>
          <w:szCs w:val="28"/>
          <w:lang w:val="en-US" w:eastAsia="en-US"/>
        </w:rPr>
        <w:t>: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 review 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Arch. Ot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laryngol.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2255">
        <w:rPr>
          <w:rFonts w:ascii="Times New Roman" w:hAnsi="Times New Roman" w:cs="Times New Roman"/>
          <w:sz w:val="28"/>
          <w:szCs w:val="28"/>
          <w:lang w:val="en-US"/>
        </w:rPr>
        <w:t>1995.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Vol. 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>108.</w:t>
      </w:r>
      <w:r w:rsidRPr="00795C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P. 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>21-24.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Endothelial apoptosis as the primary lesion initiating intestinal radiation damage in mice  / F.</w:t>
      </w:r>
      <w:r w:rsidRPr="00795C8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Paris, Z.</w:t>
      </w:r>
      <w:r w:rsidRPr="00795C8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Fuks, A.</w:t>
      </w:r>
      <w:r w:rsidRPr="00795C8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Kang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[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et al.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// Science.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2001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Vol. 293,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5528.</w:t>
      </w:r>
      <w:r w:rsidRPr="00795C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C21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 w:eastAsia="en-US"/>
        </w:rPr>
        <w:t>P. 293-297.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0331C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Румянцева Ю.В. Оптимизация терапии острого лимфобластного ле</w:t>
      </w:r>
      <w:r w:rsidRPr="006E07DF">
        <w:rPr>
          <w:rFonts w:ascii="Times New Roman" w:hAnsi="Times New Roman" w:cs="Times New Roman"/>
          <w:sz w:val="28"/>
          <w:szCs w:val="28"/>
        </w:rPr>
        <w:t>й</w:t>
      </w:r>
      <w:r w:rsidRPr="006E07DF">
        <w:rPr>
          <w:rFonts w:ascii="Times New Roman" w:hAnsi="Times New Roman" w:cs="Times New Roman"/>
          <w:sz w:val="28"/>
          <w:szCs w:val="28"/>
        </w:rPr>
        <w:t>коз</w:t>
      </w:r>
      <w:r>
        <w:rPr>
          <w:rFonts w:ascii="Times New Roman" w:hAnsi="Times New Roman" w:cs="Times New Roman"/>
          <w:sz w:val="28"/>
          <w:szCs w:val="28"/>
        </w:rPr>
        <w:t>а у детей в России и Белоруссии: стратегия Москва-Берлин /</w:t>
      </w:r>
      <w:r w:rsidRPr="000331C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lastRenderedPageBreak/>
        <w:t>Румянцева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6E07DF">
        <w:rPr>
          <w:rFonts w:ascii="Times New Roman" w:hAnsi="Times New Roman" w:cs="Times New Roman"/>
          <w:sz w:val="28"/>
          <w:szCs w:val="28"/>
        </w:rPr>
        <w:t>Вопросы гематологии, онкологии и иммунопатологии в педиатрии. – 2007. – Т.6, №4,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Ермолин А.Э.  Дифференциальная диагностика и лечение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острых и хронических лейкозов.</w:t>
      </w:r>
      <w:r w:rsidRPr="00033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Бином,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Ласкарис Дж. Лечение заболеваний слизистой оболочки рта. Руково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ство для врачей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Ласкарис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МИА, 2006. – 304 с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Гилева М.А. Эффективность лечения химиотерапевтических стомат</w:t>
      </w:r>
      <w:r w:rsidRPr="006E07DF">
        <w:rPr>
          <w:rFonts w:ascii="Times New Roman" w:hAnsi="Times New Roman" w:cs="Times New Roman"/>
          <w:sz w:val="28"/>
          <w:szCs w:val="28"/>
        </w:rPr>
        <w:t>и</w:t>
      </w:r>
      <w:r w:rsidRPr="006E07DF">
        <w:rPr>
          <w:rFonts w:ascii="Times New Roman" w:hAnsi="Times New Roman" w:cs="Times New Roman"/>
          <w:sz w:val="28"/>
          <w:szCs w:val="28"/>
        </w:rPr>
        <w:t>тов у детей с острым лейкозом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Гилева 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Стоматология детского возраста и профилактик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82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2002.</w:t>
      </w:r>
      <w:r w:rsidRPr="0082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 №3-4.</w:t>
      </w:r>
      <w:r w:rsidRPr="0082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С.34-37.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Андреева В.А. Индивидуальная гигиена полости рта у детей, получ</w:t>
      </w:r>
      <w:r w:rsidRPr="006E07DF">
        <w:rPr>
          <w:rFonts w:ascii="Times New Roman" w:hAnsi="Times New Roman" w:cs="Times New Roman"/>
          <w:sz w:val="28"/>
          <w:szCs w:val="28"/>
        </w:rPr>
        <w:t>а</w:t>
      </w:r>
      <w:r w:rsidRPr="006E07DF">
        <w:rPr>
          <w:rFonts w:ascii="Times New Roman" w:hAnsi="Times New Roman" w:cs="Times New Roman"/>
          <w:sz w:val="28"/>
          <w:szCs w:val="28"/>
        </w:rPr>
        <w:t>ющих химиотерапию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8254FC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4FC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// Кли</w:t>
      </w:r>
      <w:r>
        <w:rPr>
          <w:rFonts w:ascii="Times New Roman" w:hAnsi="Times New Roman" w:cs="Times New Roman"/>
          <w:sz w:val="28"/>
          <w:szCs w:val="28"/>
        </w:rPr>
        <w:t xml:space="preserve">нич. </w:t>
      </w:r>
      <w:r w:rsidRPr="006E07DF">
        <w:rPr>
          <w:rFonts w:ascii="Times New Roman" w:hAnsi="Times New Roman" w:cs="Times New Roman"/>
          <w:sz w:val="28"/>
          <w:szCs w:val="28"/>
        </w:rPr>
        <w:t>имплантология и ст</w:t>
      </w:r>
      <w:r w:rsidRPr="006E07DF">
        <w:rPr>
          <w:rFonts w:ascii="Times New Roman" w:hAnsi="Times New Roman" w:cs="Times New Roman"/>
          <w:sz w:val="28"/>
          <w:szCs w:val="28"/>
        </w:rPr>
        <w:t>о</w:t>
      </w:r>
      <w:r w:rsidRPr="006E07DF">
        <w:rPr>
          <w:rFonts w:ascii="Times New Roman" w:hAnsi="Times New Roman" w:cs="Times New Roman"/>
          <w:sz w:val="28"/>
          <w:szCs w:val="28"/>
        </w:rPr>
        <w:t xml:space="preserve">матология.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AE55D9">
        <w:rPr>
          <w:rFonts w:ascii="Times New Roman" w:hAnsi="Times New Roman" w:cs="Times New Roman"/>
          <w:sz w:val="28"/>
          <w:szCs w:val="28"/>
        </w:rPr>
        <w:t>2001.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№ 3-4.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С. 17-18.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Экспериментальное обоснование применения витаминов в комплек</w:t>
      </w:r>
      <w:r w:rsidRPr="006E07DF">
        <w:rPr>
          <w:rFonts w:ascii="Times New Roman" w:hAnsi="Times New Roman" w:cs="Times New Roman"/>
          <w:sz w:val="28"/>
          <w:szCs w:val="28"/>
        </w:rPr>
        <w:t>с</w:t>
      </w:r>
      <w:r w:rsidRPr="006E07DF">
        <w:rPr>
          <w:rFonts w:ascii="Times New Roman" w:hAnsi="Times New Roman" w:cs="Times New Roman"/>
          <w:sz w:val="28"/>
          <w:szCs w:val="28"/>
        </w:rPr>
        <w:t>ном лечении стоматологических заболеваний / В.А.Пахомова, Г.Ф. Б</w:t>
      </w:r>
      <w:r w:rsidRPr="006E07DF">
        <w:rPr>
          <w:rFonts w:ascii="Times New Roman" w:hAnsi="Times New Roman" w:cs="Times New Roman"/>
          <w:sz w:val="28"/>
          <w:szCs w:val="28"/>
        </w:rPr>
        <w:t>е</w:t>
      </w:r>
      <w:r w:rsidRPr="006E07DF">
        <w:rPr>
          <w:rFonts w:ascii="Times New Roman" w:hAnsi="Times New Roman" w:cs="Times New Roman"/>
          <w:sz w:val="28"/>
          <w:szCs w:val="28"/>
        </w:rPr>
        <w:t xml:space="preserve">локлицкая, О.В. Деньга, О.О. Протункевич // Вопросы медицинской химии.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1992.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Т. 38, № 4.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 57-61.</w:t>
      </w:r>
    </w:p>
    <w:p w:rsidR="00E11CAA" w:rsidRPr="006E07DF" w:rsidRDefault="004D5889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Межевикина В.С. Современные технологии лечения кандидоза слиз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стой оболочки рта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 w:rsidRPr="004D5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В.С.</w:t>
      </w:r>
      <w:r w:rsidRPr="004D5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Межевикина, С.И. Морозова,Н.А. Савельева, С.А. Безмен </w:t>
      </w:r>
      <w:r w:rsidRPr="006E07D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Рос.медико – биолог. вестник им. Академика И.П. Па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лова, 2012. – С. 158-163.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="00AE55D9">
        <w:rPr>
          <w:rFonts w:ascii="Times New Roman" w:hAnsi="Times New Roman" w:cs="Times New Roman"/>
          <w:sz w:val="28"/>
          <w:szCs w:val="28"/>
        </w:rPr>
        <w:t xml:space="preserve">Шумский А.В. Кандидоз полости рта: Монография </w:t>
      </w:r>
      <w:r w:rsidR="00AE55D9" w:rsidRPr="006E07DF">
        <w:rPr>
          <w:rFonts w:ascii="Times New Roman" w:hAnsi="Times New Roman" w:cs="Times New Roman"/>
          <w:sz w:val="28"/>
          <w:szCs w:val="28"/>
        </w:rPr>
        <w:t>/</w:t>
      </w:r>
      <w:r w:rsidR="00AE55D9" w:rsidRPr="00AE55D9">
        <w:rPr>
          <w:rFonts w:ascii="Times New Roman" w:hAnsi="Times New Roman" w:cs="Times New Roman"/>
          <w:sz w:val="28"/>
          <w:szCs w:val="28"/>
        </w:rPr>
        <w:t xml:space="preserve"> </w:t>
      </w:r>
      <w:r w:rsidR="00AE55D9">
        <w:rPr>
          <w:rFonts w:ascii="Times New Roman" w:hAnsi="Times New Roman" w:cs="Times New Roman"/>
          <w:sz w:val="28"/>
          <w:szCs w:val="28"/>
        </w:rPr>
        <w:t>А.В.</w:t>
      </w:r>
      <w:r w:rsidR="00AE55D9" w:rsidRPr="00AE55D9">
        <w:rPr>
          <w:rFonts w:ascii="Times New Roman" w:hAnsi="Times New Roman" w:cs="Times New Roman"/>
          <w:sz w:val="28"/>
          <w:szCs w:val="28"/>
        </w:rPr>
        <w:t xml:space="preserve"> </w:t>
      </w:r>
      <w:r w:rsidR="00AE55D9">
        <w:rPr>
          <w:rFonts w:ascii="Times New Roman" w:hAnsi="Times New Roman" w:cs="Times New Roman"/>
          <w:sz w:val="28"/>
          <w:szCs w:val="28"/>
        </w:rPr>
        <w:t>Шумский, В.А. Железняк. – Самара, 2008. – 199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="00452F87">
        <w:rPr>
          <w:rFonts w:ascii="Times New Roman" w:hAnsi="Times New Roman" w:cs="Times New Roman"/>
          <w:sz w:val="28"/>
          <w:szCs w:val="28"/>
        </w:rPr>
        <w:t xml:space="preserve">Практическое руководство по антиинфекционной химиотерапии </w:t>
      </w:r>
      <w:r w:rsidR="00452F87" w:rsidRPr="006E07DF">
        <w:rPr>
          <w:rFonts w:ascii="Times New Roman" w:hAnsi="Times New Roman" w:cs="Times New Roman"/>
          <w:sz w:val="28"/>
          <w:szCs w:val="28"/>
        </w:rPr>
        <w:t>/</w:t>
      </w:r>
      <w:r w:rsidR="00452F87">
        <w:rPr>
          <w:rFonts w:ascii="Times New Roman" w:hAnsi="Times New Roman" w:cs="Times New Roman"/>
          <w:sz w:val="28"/>
          <w:szCs w:val="28"/>
        </w:rPr>
        <w:t xml:space="preserve"> под ред. Л.С. Страчунского</w:t>
      </w:r>
      <w:r w:rsidR="00D812FA">
        <w:rPr>
          <w:rFonts w:ascii="Times New Roman" w:hAnsi="Times New Roman" w:cs="Times New Roman"/>
          <w:sz w:val="28"/>
          <w:szCs w:val="28"/>
        </w:rPr>
        <w:t>, Ю.Б. Белоусова, С.Н. Козлова. – НИИАХ СГМА, 2007.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Клясова Г.А. Микотические инфекции у больных гемобластозами / Г.А.</w:t>
      </w:r>
      <w:r w:rsidRPr="00AD799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Клясова, В.Г.</w:t>
      </w:r>
      <w:r w:rsidRPr="00AD799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Савченко</w:t>
      </w:r>
      <w:r>
        <w:rPr>
          <w:rFonts w:ascii="Times New Roman" w:hAnsi="Times New Roman" w:cs="Times New Roman"/>
          <w:sz w:val="28"/>
          <w:szCs w:val="28"/>
        </w:rPr>
        <w:t xml:space="preserve">  // Проблемы гематологии.</w:t>
      </w:r>
      <w:r w:rsidRPr="00AD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1997.</w:t>
      </w:r>
      <w:r w:rsidRPr="00AD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№1.</w:t>
      </w:r>
      <w:r w:rsidRPr="00AD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С. 17-25.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3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Ивериели М.В. Оральный кандидоз: этиология, патогенез, организ</w:t>
      </w:r>
      <w:r w:rsidRPr="006E07DF">
        <w:rPr>
          <w:rFonts w:ascii="Times New Roman" w:hAnsi="Times New Roman" w:cs="Times New Roman"/>
          <w:sz w:val="28"/>
          <w:szCs w:val="28"/>
        </w:rPr>
        <w:t>а</w:t>
      </w:r>
      <w:r w:rsidRPr="006E07DF">
        <w:rPr>
          <w:rFonts w:ascii="Times New Roman" w:hAnsi="Times New Roman" w:cs="Times New Roman"/>
          <w:sz w:val="28"/>
          <w:szCs w:val="28"/>
        </w:rPr>
        <w:t>ция лечебной помощи / М.В.</w:t>
      </w:r>
      <w:r w:rsidRPr="00AD799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Ивериели, Н.О.</w:t>
      </w:r>
      <w:r w:rsidRPr="00AD799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Абашидзе</w:t>
      </w:r>
      <w:r>
        <w:rPr>
          <w:rFonts w:ascii="Times New Roman" w:hAnsi="Times New Roman" w:cs="Times New Roman"/>
          <w:sz w:val="28"/>
          <w:szCs w:val="28"/>
        </w:rPr>
        <w:t xml:space="preserve"> //Клинич.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матология.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1999.</w:t>
      </w:r>
      <w:r w:rsidRPr="00F12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№2.</w:t>
      </w:r>
      <w:r w:rsidRPr="00F12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С.52-56.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Клясова Г.А. Профилактика дифлюканом грибковых инфекций при трансплантации костного мозга / Г.А.</w:t>
      </w:r>
      <w:r w:rsidRPr="00F12B2C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Клясова, В.Г.</w:t>
      </w:r>
      <w:r w:rsidRPr="00F12B2C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Савченко, Л.С.</w:t>
      </w:r>
      <w:r w:rsidRPr="00F12B2C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Любимова</w:t>
      </w:r>
      <w:r w:rsidRPr="00F12B2C">
        <w:rPr>
          <w:rFonts w:ascii="Times New Roman" w:hAnsi="Times New Roman" w:cs="Times New Roman"/>
          <w:sz w:val="28"/>
          <w:szCs w:val="28"/>
        </w:rPr>
        <w:t xml:space="preserve"> [</w:t>
      </w:r>
      <w:r w:rsidRPr="006E07D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F12B2C">
        <w:rPr>
          <w:rFonts w:ascii="Times New Roman" w:hAnsi="Times New Roman" w:cs="Times New Roman"/>
          <w:sz w:val="28"/>
          <w:szCs w:val="28"/>
        </w:rPr>
        <w:t>]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//Гематология и трансфузиология.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2001.</w:t>
      </w:r>
      <w:r w:rsidRPr="00F12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Т.46.</w:t>
      </w:r>
      <w:r w:rsidRPr="00F12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№6.</w:t>
      </w:r>
      <w:r w:rsidRPr="00F12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29-33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Ковалев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О.А. Изучение антимикробной и пртивовоспалительной а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тив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средств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для лечения заболеваний слизистой оболочки пол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сти рта / О.А.Ковалев, Л.М. Федосеева, М.А. Биндюк // Институт ст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тологии.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2009.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№4.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С.74-75.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Грудянов А.И. Применение пробиотиков в комплексном лечении во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палительных заболеваний парадонта / А.И. Грудяно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в, Н.А. Дмитриева, Е.В. Фоменко.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МИА, 2006.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112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Рабинович И.М. Коррекция микробио</w:t>
      </w:r>
      <w:r w:rsidRPr="006E07DF">
        <w:rPr>
          <w:rFonts w:ascii="Times New Roman" w:hAnsi="Times New Roman" w:cs="Times New Roman"/>
          <w:sz w:val="28"/>
          <w:szCs w:val="28"/>
        </w:rPr>
        <w:softHyphen/>
        <w:t>логических изменений у бол</w:t>
      </w:r>
      <w:r w:rsidRPr="006E07DF">
        <w:rPr>
          <w:rFonts w:ascii="Times New Roman" w:hAnsi="Times New Roman" w:cs="Times New Roman"/>
          <w:sz w:val="28"/>
          <w:szCs w:val="28"/>
        </w:rPr>
        <w:t>ь</w:t>
      </w:r>
      <w:r w:rsidRPr="006E07DF">
        <w:rPr>
          <w:rFonts w:ascii="Times New Roman" w:hAnsi="Times New Roman" w:cs="Times New Roman"/>
          <w:sz w:val="28"/>
          <w:szCs w:val="28"/>
        </w:rPr>
        <w:t>ных с дисбактериозами полости рта / И.М.</w:t>
      </w:r>
      <w:r w:rsidRPr="00F12B2C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Рабинович, H.A.</w:t>
      </w:r>
      <w:r w:rsidRPr="00F12B2C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Дмитри</w:t>
      </w:r>
      <w:r w:rsidRPr="006E07DF">
        <w:rPr>
          <w:rFonts w:ascii="Times New Roman" w:hAnsi="Times New Roman" w:cs="Times New Roman"/>
          <w:sz w:val="28"/>
          <w:szCs w:val="28"/>
        </w:rPr>
        <w:t>е</w:t>
      </w:r>
      <w:r w:rsidRPr="006E07DF">
        <w:rPr>
          <w:rFonts w:ascii="Times New Roman" w:hAnsi="Times New Roman" w:cs="Times New Roman"/>
          <w:sz w:val="28"/>
          <w:szCs w:val="28"/>
        </w:rPr>
        <w:t>ва, О.И.</w:t>
      </w:r>
      <w:r w:rsidRPr="00F12B2C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Ефимович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// Тр. VI Съезда Стоматологической Ассоциации России.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осква,</w:t>
      </w:r>
      <w:r w:rsidRPr="006E07DF">
        <w:rPr>
          <w:rFonts w:ascii="Times New Roman" w:hAnsi="Times New Roman" w:cs="Times New Roman"/>
          <w:sz w:val="28"/>
          <w:szCs w:val="28"/>
        </w:rPr>
        <w:t xml:space="preserve"> 2000. </w:t>
      </w:r>
      <w:r w:rsidRPr="006E0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 281-283.</w:t>
      </w:r>
    </w:p>
    <w:p w:rsidR="00E11CAA" w:rsidRPr="006E07DF" w:rsidRDefault="00E11CAA" w:rsidP="00E11C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Алсынбаев  М.М. Биопрепараты и ведущие направления их лечебно-профилактического применения / М.М. Алсынбаев, Ю.А. Медведев, М.М. Ту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07DF">
        <w:rPr>
          <w:rFonts w:ascii="Times New Roman" w:hAnsi="Times New Roman" w:cs="Times New Roman"/>
          <w:sz w:val="28"/>
          <w:szCs w:val="28"/>
        </w:rPr>
        <w:t>гунов. –</w:t>
      </w:r>
      <w:r>
        <w:rPr>
          <w:rFonts w:ascii="Times New Roman" w:hAnsi="Times New Roman" w:cs="Times New Roman"/>
          <w:sz w:val="28"/>
          <w:szCs w:val="28"/>
        </w:rPr>
        <w:t xml:space="preserve"> Уфа: РИО филиала «Имму</w:t>
      </w:r>
      <w:r w:rsidRPr="006E07DF">
        <w:rPr>
          <w:rFonts w:ascii="Times New Roman" w:hAnsi="Times New Roman" w:cs="Times New Roman"/>
          <w:sz w:val="28"/>
          <w:szCs w:val="28"/>
        </w:rPr>
        <w:t xml:space="preserve">нопрепарат» </w:t>
      </w:r>
      <w:r>
        <w:rPr>
          <w:rFonts w:ascii="Times New Roman" w:hAnsi="Times New Roman" w:cs="Times New Roman"/>
          <w:sz w:val="28"/>
          <w:szCs w:val="28"/>
        </w:rPr>
        <w:t xml:space="preserve">ФГУП «НПО Микроген» МЗ и СР РФ, </w:t>
      </w:r>
      <w:r w:rsidRPr="006E07DF">
        <w:rPr>
          <w:rFonts w:ascii="Times New Roman" w:hAnsi="Times New Roman" w:cs="Times New Roman"/>
          <w:sz w:val="28"/>
          <w:szCs w:val="28"/>
        </w:rPr>
        <w:t>2008. – 100 с.</w:t>
      </w:r>
    </w:p>
    <w:p w:rsidR="00E11CAA" w:rsidRPr="00EC5EC6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="00EC5EC6">
        <w:rPr>
          <w:rFonts w:ascii="Times New Roman" w:hAnsi="Times New Roman" w:cs="Times New Roman"/>
          <w:sz w:val="28"/>
          <w:szCs w:val="28"/>
        </w:rPr>
        <w:t xml:space="preserve">Барановский А.Ю. Дисбактериоз кишечника </w:t>
      </w:r>
      <w:r w:rsidR="00EC5EC6" w:rsidRPr="006E07DF">
        <w:rPr>
          <w:rFonts w:ascii="Times New Roman" w:hAnsi="Times New Roman" w:cs="Times New Roman"/>
          <w:sz w:val="28"/>
          <w:szCs w:val="28"/>
        </w:rPr>
        <w:t>/</w:t>
      </w:r>
      <w:r w:rsidR="00EC5EC6">
        <w:rPr>
          <w:rFonts w:ascii="Times New Roman" w:hAnsi="Times New Roman" w:cs="Times New Roman"/>
          <w:sz w:val="28"/>
          <w:szCs w:val="28"/>
        </w:rPr>
        <w:t xml:space="preserve"> А.Ю.</w:t>
      </w:r>
      <w:r w:rsidR="00EC5EC6" w:rsidRPr="00EC5EC6">
        <w:rPr>
          <w:rFonts w:ascii="Times New Roman" w:hAnsi="Times New Roman" w:cs="Times New Roman"/>
          <w:sz w:val="28"/>
          <w:szCs w:val="28"/>
        </w:rPr>
        <w:t xml:space="preserve"> </w:t>
      </w:r>
      <w:r w:rsidR="00EC5EC6">
        <w:rPr>
          <w:rFonts w:ascii="Times New Roman" w:hAnsi="Times New Roman" w:cs="Times New Roman"/>
          <w:sz w:val="28"/>
          <w:szCs w:val="28"/>
        </w:rPr>
        <w:t>Барановский, Э.А. Кондрашина. – СПб: Питер, 2007. – 240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</w:rPr>
        <w:t xml:space="preserve"> Каширская Н.Ю. Значение пробиотиков и пребиотиков в регуляции кишечной микрофлоры /</w:t>
      </w:r>
      <w:r w:rsidRPr="004103D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Н.Ю. Каширская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// 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микробиол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журнал. –2000.</w:t>
      </w:r>
      <w:r w:rsidRPr="004103D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–Том 8. –№ 13-14.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С. 572-576.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Флавоноїд кверцетин: фармакологічні властивості та клінічне викор</w:t>
      </w:r>
      <w:r w:rsidRPr="006E07DF">
        <w:rPr>
          <w:rFonts w:ascii="Times New Roman" w:hAnsi="Times New Roman" w:cs="Times New Roman"/>
          <w:sz w:val="28"/>
          <w:szCs w:val="28"/>
        </w:rPr>
        <w:t>и</w:t>
      </w:r>
      <w:r w:rsidRPr="006E07DF">
        <w:rPr>
          <w:rFonts w:ascii="Times New Roman" w:hAnsi="Times New Roman" w:cs="Times New Roman"/>
          <w:sz w:val="28"/>
          <w:szCs w:val="28"/>
        </w:rPr>
        <w:t>стання / М. Т. Ватутін, Т. С. Гончаренко, О. В. Склянна [та ін.] // Ліки. – 2005. – № 3-4. – С. 19-27.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</w:rPr>
        <w:lastRenderedPageBreak/>
        <w:t xml:space="preserve"> Смірнов О. Флавоноїди рутин і кверцетин. Біосинтез, будова, функції / О. Смірнов, О. Косик // Вісник Львів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07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07DF">
        <w:rPr>
          <w:rFonts w:ascii="Times New Roman" w:hAnsi="Times New Roman" w:cs="Times New Roman"/>
          <w:sz w:val="28"/>
          <w:szCs w:val="28"/>
        </w:rPr>
        <w:t>ту. Серія біологічна. – 2011. – 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07DF">
        <w:rPr>
          <w:rFonts w:ascii="Times New Roman" w:hAnsi="Times New Roman" w:cs="Times New Roman"/>
          <w:sz w:val="28"/>
          <w:szCs w:val="28"/>
        </w:rPr>
        <w:t>п. 56.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 3-71.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7DF">
        <w:rPr>
          <w:rFonts w:ascii="Times New Roman" w:hAnsi="Times New Roman" w:cs="Times New Roman"/>
          <w:sz w:val="28"/>
          <w:szCs w:val="28"/>
        </w:rPr>
        <w:t xml:space="preserve"> Добавка дієтична "Квертулін": ТУ У 10.8-13903778-040: 2012. – [Ви</w:t>
      </w:r>
      <w:r w:rsidRPr="006E07DF">
        <w:rPr>
          <w:rFonts w:ascii="Times New Roman" w:hAnsi="Times New Roman" w:cs="Times New Roman"/>
          <w:sz w:val="28"/>
          <w:szCs w:val="28"/>
        </w:rPr>
        <w:t>с</w:t>
      </w:r>
      <w:r w:rsidRPr="006E07DF">
        <w:rPr>
          <w:rFonts w:ascii="Times New Roman" w:hAnsi="Times New Roman" w:cs="Times New Roman"/>
          <w:sz w:val="28"/>
          <w:szCs w:val="28"/>
        </w:rPr>
        <w:t>новок МОЗУ № 05.03.02-06/44464 від 17.05.2012] –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07DF">
        <w:rPr>
          <w:rFonts w:ascii="Times New Roman" w:hAnsi="Times New Roman" w:cs="Times New Roman"/>
          <w:sz w:val="28"/>
          <w:szCs w:val="28"/>
        </w:rPr>
        <w:t>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Новикова М.А. Клинико-лабораторное обоснование применения к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томаса в комплексном лечении генерализованного пародонтита / М.А.Новикова, Г.Ф.Белоклицкая, В.А.Пахомова </w:t>
      </w:r>
      <w:r w:rsidRPr="000062E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и др.</w:t>
      </w:r>
      <w:r w:rsidRPr="000062E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// Вісник стом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тології. – 1998.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№3. – С.16-19.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Левицкий А.П. Гепатопротек</w:t>
      </w:r>
      <w:r w:rsidR="006F47C6">
        <w:rPr>
          <w:rFonts w:ascii="Times New Roman" w:hAnsi="Times New Roman" w:cs="Times New Roman"/>
          <w:color w:val="000000"/>
          <w:sz w:val="28"/>
          <w:szCs w:val="28"/>
        </w:rPr>
        <w:t>торные свойства ксенон-катомаса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/ А.П.Левицкий, А.П.Графов, С.А.Демьяненко </w:t>
      </w:r>
      <w:r w:rsidRPr="000062E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и др.</w:t>
      </w:r>
      <w:r w:rsidRPr="000062E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// В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сник стомат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лог</w:t>
      </w:r>
      <w:r w:rsidRPr="006E07D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. – 2010.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№4. – С.2-6.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Стальная И.Д., Гаришвили Т.Г. Сов</w:t>
      </w:r>
      <w:r>
        <w:rPr>
          <w:rFonts w:ascii="Times New Roman" w:hAnsi="Times New Roman" w:cs="Times New Roman"/>
          <w:sz w:val="28"/>
          <w:szCs w:val="28"/>
        </w:rPr>
        <w:t>ременные методы в биохимии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0062E6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2E6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Стальная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7DF">
        <w:rPr>
          <w:rFonts w:ascii="Times New Roman" w:hAnsi="Times New Roman" w:cs="Times New Roman"/>
          <w:sz w:val="28"/>
          <w:szCs w:val="28"/>
        </w:rPr>
        <w:t>Т.Г.</w:t>
      </w:r>
      <w:r w:rsidRPr="000062E6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Гаришвили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 w:rsidRPr="00006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Москва: Медицина, 1977.</w:t>
      </w:r>
      <w:r w:rsidRPr="0000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62E6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С. 66-68.  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Королюк М.А.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Метод определения активности каталазы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М.А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6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Кор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люк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Л.И.</w:t>
      </w:r>
      <w:r w:rsidRPr="00006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Иванова, Н.Т. Майорова // Лаб. дело.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1988.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№1.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С. 16-18.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Риженко С.А. Донозологічна діагностика впливу факторів       навк</w:t>
      </w:r>
      <w:r w:rsidRPr="006E07DF">
        <w:rPr>
          <w:rFonts w:ascii="Times New Roman" w:hAnsi="Times New Roman" w:cs="Times New Roman"/>
          <w:sz w:val="28"/>
          <w:szCs w:val="28"/>
        </w:rPr>
        <w:t>о</w:t>
      </w:r>
      <w:r w:rsidRPr="006E07DF">
        <w:rPr>
          <w:rFonts w:ascii="Times New Roman" w:hAnsi="Times New Roman" w:cs="Times New Roman"/>
          <w:sz w:val="28"/>
          <w:szCs w:val="28"/>
        </w:rPr>
        <w:t>лишнього середовища по аерококах мікробіоценозу ротової порожн</w:t>
      </w:r>
      <w:r w:rsidRPr="006E07DF">
        <w:rPr>
          <w:rFonts w:ascii="Times New Roman" w:hAnsi="Times New Roman" w:cs="Times New Roman"/>
          <w:sz w:val="28"/>
          <w:szCs w:val="28"/>
        </w:rPr>
        <w:t>и</w:t>
      </w:r>
      <w:r w:rsidRPr="006E07DF">
        <w:rPr>
          <w:rFonts w:ascii="Times New Roman" w:hAnsi="Times New Roman" w:cs="Times New Roman"/>
          <w:sz w:val="28"/>
          <w:szCs w:val="28"/>
        </w:rPr>
        <w:t>ни / С.А. Риженко, О.В. Че</w:t>
      </w:r>
      <w:r>
        <w:rPr>
          <w:rFonts w:ascii="Times New Roman" w:hAnsi="Times New Roman" w:cs="Times New Roman"/>
          <w:sz w:val="28"/>
          <w:szCs w:val="28"/>
        </w:rPr>
        <w:t xml:space="preserve">банова // Медичні перспективи. – </w:t>
      </w:r>
      <w:r w:rsidRPr="006E07DF">
        <w:rPr>
          <w:rFonts w:ascii="Times New Roman" w:hAnsi="Times New Roman" w:cs="Times New Roman"/>
          <w:sz w:val="28"/>
          <w:szCs w:val="28"/>
        </w:rPr>
        <w:t xml:space="preserve">2004.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 xml:space="preserve">№4.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07DF">
        <w:rPr>
          <w:rFonts w:ascii="Times New Roman" w:hAnsi="Times New Roman" w:cs="Times New Roman"/>
          <w:sz w:val="28"/>
          <w:szCs w:val="28"/>
        </w:rPr>
        <w:t xml:space="preserve">С. 97-100. 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Сает Ю.Е. Геохимические аспекты экологии человека в городе / Ю.Е. Сает, Б.А. Ревич // Проблемы экологии человека: Материалы 1 Всес</w:t>
      </w:r>
      <w:r w:rsidRPr="006E07DF">
        <w:rPr>
          <w:rFonts w:ascii="Times New Roman" w:hAnsi="Times New Roman" w:cs="Times New Roman"/>
          <w:sz w:val="28"/>
          <w:szCs w:val="28"/>
        </w:rPr>
        <w:t>о</w:t>
      </w:r>
      <w:r w:rsidRPr="006E07DF">
        <w:rPr>
          <w:rFonts w:ascii="Times New Roman" w:hAnsi="Times New Roman" w:cs="Times New Roman"/>
          <w:sz w:val="28"/>
          <w:szCs w:val="28"/>
        </w:rPr>
        <w:t>юз. Совещания. – Архангельск, 1993.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С. 33-42.  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Левицкий А.П.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Экспериментальные методы воспроизведения и опр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деления степени дисбиоза в тканях полости 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 w:rsidRPr="00C97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А.П.</w:t>
      </w:r>
      <w:r w:rsidRPr="00C97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Левицкий, О.А. Макаренко, О.В. Деньга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// Вісник стоматології.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2010.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№2.</w:t>
      </w:r>
      <w:r w:rsidRPr="00C97188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С. 22-23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ершигора Е.А. Общая иммунология </w:t>
      </w:r>
      <w:r w:rsidRPr="006E07DF">
        <w:rPr>
          <w:rFonts w:ascii="Times New Roman" w:hAnsi="Times New Roman" w:cs="Times New Roman"/>
          <w:sz w:val="28"/>
          <w:szCs w:val="28"/>
        </w:rPr>
        <w:t>/</w:t>
      </w:r>
      <w:r w:rsidRPr="00C97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Pr="000F37D7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ершигора. - Київ</w:t>
      </w:r>
      <w:r w:rsidRPr="006E07DF">
        <w:rPr>
          <w:rFonts w:ascii="Times New Roman" w:hAnsi="Times New Roman" w:cs="Times New Roman"/>
          <w:sz w:val="28"/>
          <w:szCs w:val="28"/>
        </w:rPr>
        <w:t xml:space="preserve">: Вища школа, 1995. </w:t>
      </w:r>
      <w:r w:rsidRPr="006E0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6E07DF">
        <w:rPr>
          <w:rFonts w:ascii="Times New Roman" w:hAnsi="Times New Roman" w:cs="Times New Roman"/>
          <w:sz w:val="28"/>
          <w:szCs w:val="28"/>
        </w:rPr>
        <w:t xml:space="preserve">  504 с.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Жяконис И.М. Иммунологические аспекты гингивита и пародонтита: автореф. дис. на соискание учёной степени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ра. </w:t>
      </w:r>
      <w:r w:rsidRPr="006E07DF">
        <w:rPr>
          <w:rFonts w:ascii="Times New Roman" w:hAnsi="Times New Roman" w:cs="Times New Roman"/>
          <w:sz w:val="28"/>
          <w:szCs w:val="28"/>
        </w:rPr>
        <w:t>мед.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аук</w:t>
      </w:r>
      <w:r w:rsidRPr="006E07DF">
        <w:rPr>
          <w:rFonts w:ascii="Times New Roman" w:hAnsi="Times New Roman" w:cs="Times New Roman"/>
          <w:sz w:val="28"/>
          <w:szCs w:val="28"/>
        </w:rPr>
        <w:t xml:space="preserve">: спец. 14.01.14 «Стоматология» / И.М. Жяконис. </w:t>
      </w:r>
      <w:r w:rsidRPr="006E0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6E07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Pr="006E07DF">
        <w:rPr>
          <w:rFonts w:ascii="Times New Roman" w:hAnsi="Times New Roman" w:cs="Times New Roman"/>
          <w:sz w:val="28"/>
          <w:szCs w:val="28"/>
        </w:rPr>
        <w:t>, 1996. – 38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Лебедев К.А.</w:t>
      </w:r>
      <w:r w:rsidRPr="006E0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Имм</w:t>
      </w:r>
      <w:r>
        <w:rPr>
          <w:rFonts w:ascii="Times New Roman" w:hAnsi="Times New Roman" w:cs="Times New Roman"/>
          <w:sz w:val="28"/>
          <w:szCs w:val="28"/>
        </w:rPr>
        <w:t>унология в клинической практике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 К.А.</w:t>
      </w:r>
      <w:r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Лебедев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0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И.Д.</w:t>
      </w:r>
      <w:r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Понякина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Pr="006E07DF">
        <w:rPr>
          <w:rFonts w:ascii="Times New Roman" w:hAnsi="Times New Roman" w:cs="Times New Roman"/>
          <w:sz w:val="28"/>
          <w:szCs w:val="28"/>
        </w:rPr>
        <w:t xml:space="preserve">: Наука, 1999.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224 с.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Левин М.Я.</w:t>
      </w:r>
      <w:r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Значение аутоиммунных процессов в патогенезе воспал</w:t>
      </w:r>
      <w:r w:rsidRPr="006E07DF">
        <w:rPr>
          <w:rFonts w:ascii="Times New Roman" w:hAnsi="Times New Roman" w:cs="Times New Roman"/>
          <w:sz w:val="28"/>
          <w:szCs w:val="28"/>
        </w:rPr>
        <w:t>и</w:t>
      </w:r>
      <w:r w:rsidRPr="006E07DF">
        <w:rPr>
          <w:rFonts w:ascii="Times New Roman" w:hAnsi="Times New Roman" w:cs="Times New Roman"/>
          <w:sz w:val="28"/>
          <w:szCs w:val="28"/>
        </w:rPr>
        <w:t>тельных заболеваний пародонта</w:t>
      </w:r>
      <w:r w:rsidRPr="006E0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/ М.Я.</w:t>
      </w:r>
      <w:r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Левин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Я. О.</w:t>
      </w:r>
      <w:r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Орехова</w:t>
      </w:r>
      <w:r w:rsidRPr="00323C12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 // Пар</w:t>
      </w:r>
      <w:r w:rsidRPr="006E07DF">
        <w:rPr>
          <w:rFonts w:ascii="Times New Roman" w:hAnsi="Times New Roman" w:cs="Times New Roman"/>
          <w:sz w:val="28"/>
          <w:szCs w:val="28"/>
        </w:rPr>
        <w:t>о</w:t>
      </w:r>
      <w:r w:rsidRPr="006E07DF">
        <w:rPr>
          <w:rFonts w:ascii="Times New Roman" w:hAnsi="Times New Roman" w:cs="Times New Roman"/>
          <w:sz w:val="28"/>
          <w:szCs w:val="28"/>
        </w:rPr>
        <w:t xml:space="preserve">донтология. </w:t>
      </w:r>
      <w:r w:rsidRPr="006E0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6E07DF">
        <w:rPr>
          <w:rFonts w:ascii="Times New Roman" w:hAnsi="Times New Roman" w:cs="Times New Roman"/>
          <w:sz w:val="28"/>
          <w:szCs w:val="28"/>
        </w:rPr>
        <w:t xml:space="preserve"> 2000. </w:t>
      </w:r>
      <w:r w:rsidRPr="006E0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6E07DF">
        <w:rPr>
          <w:rFonts w:ascii="Times New Roman" w:hAnsi="Times New Roman" w:cs="Times New Roman"/>
          <w:sz w:val="28"/>
          <w:szCs w:val="28"/>
        </w:rPr>
        <w:t xml:space="preserve"> № 1. </w:t>
      </w:r>
      <w:r w:rsidRPr="006E0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6E07DF">
        <w:rPr>
          <w:rFonts w:ascii="Times New Roman" w:hAnsi="Times New Roman" w:cs="Times New Roman"/>
          <w:sz w:val="28"/>
          <w:szCs w:val="28"/>
        </w:rPr>
        <w:t xml:space="preserve"> С. 19-25.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Коробейникова Э.Н. Количественное определение содержания белка и лизоцима (гликопротеинов) в слюне / Э.Н. Коробейникова, Е. И. Ильиных // Клинич. лаб. диагностика. – 2001.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№8.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С. 34-35.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Сторожук П.Г.</w:t>
      </w:r>
      <w:r w:rsidRPr="006E0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Определение активности лизоцима слюны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634C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П.Г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34C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Сторожук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34C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 xml:space="preserve">Сафарова, В.В.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Еричев // Клинич. лаб. Диагностика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– 2000.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№6.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С. 13-15.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Деньга О.В. Метод оценки поверхностного заряда плазматических мембран клеток буккального эпителия у детей 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О.В.</w:t>
      </w:r>
      <w:r w:rsidRPr="00563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Деньга // Вісн. стоматології.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 xml:space="preserve"> 1997.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№3.</w:t>
      </w:r>
      <w:r w:rsidRPr="005634C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/>
          <w:sz w:val="28"/>
          <w:szCs w:val="28"/>
        </w:rPr>
        <w:t>С. 449-451.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Леонтьев В.К.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Биохимические методы исследования в клинической и экспериментальной стоматологии: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етод. пособие</w:t>
      </w:r>
      <w:r w:rsidRPr="006E07D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В.К.</w:t>
      </w:r>
      <w:r w:rsidRPr="005634C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Леонтьев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34C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Ю.А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34C1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– Омск, 1976. – 93 с.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Зайцев В.М. Прикладная медицинская статистика / В.М. Зайцев, В.Г. Лифляндский, В.И. Маринкин. – Санкт-Петербург: ООО «Изд-во ФОЛИАНТ», 2003. – 432 с.</w:t>
      </w:r>
    </w:p>
    <w:p w:rsidR="00E11CAA" w:rsidRPr="006E07DF" w:rsidRDefault="00E11CAA" w:rsidP="00E11CAA">
      <w:pPr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Реброва О. Статистический анализ медицинских данных. Применение пакета</w:t>
      </w:r>
      <w:r>
        <w:rPr>
          <w:rFonts w:ascii="Times New Roman" w:hAnsi="Times New Roman" w:cs="Times New Roman"/>
          <w:sz w:val="28"/>
          <w:szCs w:val="28"/>
        </w:rPr>
        <w:t xml:space="preserve"> прикладных программ STATISTICA</w:t>
      </w:r>
      <w:r w:rsidRPr="006E07D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Реброва.</w:t>
      </w:r>
      <w:r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Pr="006E07DF">
        <w:rPr>
          <w:rFonts w:ascii="Times New Roman" w:hAnsi="Times New Roman" w:cs="Times New Roman"/>
          <w:sz w:val="28"/>
          <w:szCs w:val="28"/>
        </w:rPr>
        <w:t>: Медиа Сфера, 2002. – 256 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занова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Изучение микробиоценоза при хронических заболеваниях слизисто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07DF">
        <w:rPr>
          <w:rFonts w:ascii="Times New Roman" w:hAnsi="Times New Roman" w:cs="Times New Roman"/>
          <w:sz w:val="28"/>
          <w:szCs w:val="28"/>
        </w:rPr>
        <w:t xml:space="preserve"> оболочки полости рта /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Pr="000422F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Хазанова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И.М.</w:t>
      </w:r>
      <w:r w:rsidRPr="006E07DF">
        <w:rPr>
          <w:rFonts w:ascii="Times New Roman" w:hAnsi="Times New Roman" w:cs="Times New Roman"/>
          <w:sz w:val="28"/>
          <w:szCs w:val="28"/>
        </w:rPr>
        <w:t xml:space="preserve"> Рабинович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07DF">
        <w:rPr>
          <w:rFonts w:ascii="Times New Roman" w:hAnsi="Times New Roman" w:cs="Times New Roman"/>
          <w:sz w:val="28"/>
          <w:szCs w:val="28"/>
        </w:rPr>
        <w:t xml:space="preserve"> Е.А. Земская // Стоматология. – 1996. – Т.75,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E07DF">
        <w:rPr>
          <w:rFonts w:ascii="Times New Roman" w:hAnsi="Times New Roman" w:cs="Times New Roman"/>
          <w:sz w:val="28"/>
          <w:szCs w:val="28"/>
        </w:rPr>
        <w:t>2. – С.26-27.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360" w:lineRule="auto"/>
        <w:ind w:left="647" w:hanging="505"/>
        <w:jc w:val="both"/>
        <w:rPr>
          <w:rFonts w:ascii="Times New Roman" w:hAnsi="Times New Roman" w:cs="Times New Roman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Рабинович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И.М. </w:t>
      </w:r>
      <w:r w:rsidRPr="006E07DF">
        <w:rPr>
          <w:rFonts w:ascii="Times New Roman" w:hAnsi="Times New Roman" w:cs="Times New Roman"/>
          <w:sz w:val="28"/>
          <w:szCs w:val="28"/>
        </w:rPr>
        <w:t>Роль микрофлоры в патологии слизисто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07DF">
        <w:rPr>
          <w:rFonts w:ascii="Times New Roman" w:hAnsi="Times New Roman" w:cs="Times New Roman"/>
          <w:sz w:val="28"/>
          <w:szCs w:val="28"/>
        </w:rPr>
        <w:t xml:space="preserve"> оболочки полости рта/ И.М.Рабинович, Г.В. Банченк, О.Ф. Рабинович // Стоматология.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2002. –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E07DF">
        <w:rPr>
          <w:rFonts w:ascii="Times New Roman" w:hAnsi="Times New Roman" w:cs="Times New Roman"/>
          <w:sz w:val="28"/>
          <w:szCs w:val="28"/>
        </w:rPr>
        <w:t>5.</w:t>
      </w:r>
      <w:r w:rsidRPr="000422F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С.48-50. 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Шматко В.І. Захисні механізми порожнини рота / В.І. Шматко, І.М. Голубєва, Н.В. Біденко // Вісник стоматологі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6E07DF">
        <w:rPr>
          <w:rFonts w:ascii="Times New Roman" w:hAnsi="Times New Roman" w:cs="Times New Roman"/>
          <w:sz w:val="28"/>
          <w:szCs w:val="28"/>
        </w:rPr>
        <w:t>. – 1998.</w:t>
      </w:r>
      <w:r w:rsidRPr="000422F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E07DF">
        <w:rPr>
          <w:rFonts w:ascii="Times New Roman" w:hAnsi="Times New Roman" w:cs="Times New Roman"/>
          <w:sz w:val="28"/>
          <w:szCs w:val="28"/>
        </w:rPr>
        <w:t xml:space="preserve"> 4.</w:t>
      </w:r>
      <w:r w:rsidRPr="000422F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– </w:t>
      </w:r>
      <w:r w:rsidRPr="001236C3">
        <w:rPr>
          <w:rFonts w:ascii="Times New Roman" w:hAnsi="Times New Roman" w:cs="Times New Roman"/>
          <w:sz w:val="28"/>
          <w:szCs w:val="28"/>
        </w:rPr>
        <w:t>С.79-84.</w:t>
      </w:r>
    </w:p>
    <w:p w:rsidR="00E11CAA" w:rsidRPr="000422FD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F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Cannon R. Oral colonization by Candida albicans / R.</w:t>
      </w:r>
      <w:r w:rsidRPr="000422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Cannon, W.L.</w:t>
      </w:r>
      <w:r w:rsidRPr="000422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Chaffin // Crit. Rev</w:t>
      </w:r>
      <w:r w:rsidRPr="000422FD">
        <w:rPr>
          <w:rFonts w:ascii="Times New Roman" w:hAnsi="Times New Roman" w:cs="Times New Roman"/>
          <w:sz w:val="28"/>
          <w:szCs w:val="28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0422F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Biol</w:t>
      </w:r>
      <w:r w:rsidRPr="000422FD">
        <w:rPr>
          <w:rFonts w:ascii="Times New Roman" w:hAnsi="Times New Roman" w:cs="Times New Roman"/>
          <w:sz w:val="28"/>
          <w:szCs w:val="28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0422FD">
        <w:rPr>
          <w:rFonts w:ascii="Times New Roman" w:hAnsi="Times New Roman" w:cs="Times New Roman"/>
          <w:sz w:val="28"/>
          <w:szCs w:val="28"/>
        </w:rPr>
        <w:t>. – 1999. –</w:t>
      </w:r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0422FD">
        <w:rPr>
          <w:rFonts w:ascii="Times New Roman" w:hAnsi="Times New Roman" w:cs="Times New Roman"/>
          <w:sz w:val="28"/>
          <w:szCs w:val="28"/>
        </w:rPr>
        <w:t>.10,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22FD">
        <w:rPr>
          <w:rFonts w:ascii="Times New Roman" w:hAnsi="Times New Roman" w:cs="Times New Roman"/>
          <w:sz w:val="28"/>
          <w:szCs w:val="28"/>
        </w:rPr>
        <w:t xml:space="preserve"> 3. – Р.</w:t>
      </w:r>
      <w:r>
        <w:rPr>
          <w:rFonts w:ascii="Times New Roman" w:hAnsi="Times New Roman" w:cs="Times New Roman"/>
          <w:sz w:val="28"/>
          <w:szCs w:val="28"/>
        </w:rPr>
        <w:t>359-</w:t>
      </w:r>
      <w:r w:rsidRPr="000422FD">
        <w:rPr>
          <w:rFonts w:ascii="Times New Roman" w:hAnsi="Times New Roman" w:cs="Times New Roman"/>
          <w:sz w:val="28"/>
          <w:szCs w:val="28"/>
        </w:rPr>
        <w:t>383.</w:t>
      </w:r>
    </w:p>
    <w:p w:rsidR="00E11CAA" w:rsidRPr="000422FD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0422F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Хазанова В.В</w:t>
      </w:r>
      <w:r w:rsidRPr="006E07D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 xml:space="preserve">Микробная </w:t>
      </w:r>
      <w:r>
        <w:rPr>
          <w:rFonts w:ascii="Times New Roman" w:hAnsi="Times New Roman" w:cs="Times New Roman"/>
          <w:sz w:val="28"/>
          <w:szCs w:val="28"/>
        </w:rPr>
        <w:t>флора полости рта / В.В. Хазанов</w:t>
      </w:r>
      <w:r w:rsidRPr="006E07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07DF">
        <w:rPr>
          <w:rFonts w:ascii="Times New Roman" w:hAnsi="Times New Roman" w:cs="Times New Roman"/>
          <w:sz w:val="28"/>
          <w:szCs w:val="28"/>
        </w:rPr>
        <w:t xml:space="preserve">  Справочник по стоматологии.</w:t>
      </w:r>
      <w:r w:rsidRPr="000422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0422FD">
        <w:rPr>
          <w:rFonts w:ascii="Times New Roman" w:hAnsi="Times New Roman" w:cs="Times New Roman"/>
          <w:sz w:val="28"/>
          <w:szCs w:val="28"/>
        </w:rPr>
        <w:t xml:space="preserve">: Медицина, 1993. – С.438-443. 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Дурнов Л.А. Руководство по детско</w:t>
      </w:r>
      <w:r>
        <w:rPr>
          <w:rFonts w:ascii="Times New Roman" w:hAnsi="Times New Roman" w:cs="Times New Roman"/>
          <w:sz w:val="28"/>
          <w:szCs w:val="28"/>
        </w:rPr>
        <w:t>й онкологии /</w:t>
      </w:r>
      <w:r w:rsidRPr="006E07DF">
        <w:rPr>
          <w:rFonts w:ascii="Times New Roman" w:hAnsi="Times New Roman" w:cs="Times New Roman"/>
          <w:sz w:val="28"/>
          <w:szCs w:val="28"/>
        </w:rPr>
        <w:t xml:space="preserve"> Л.А.</w:t>
      </w:r>
      <w:r w:rsidRPr="000422F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Дурнов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22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6E07DF">
        <w:rPr>
          <w:rFonts w:ascii="Times New Roman" w:hAnsi="Times New Roman" w:cs="Times New Roman"/>
          <w:sz w:val="28"/>
          <w:szCs w:val="28"/>
        </w:rPr>
        <w:t xml:space="preserve">: Миклош, 2003. </w:t>
      </w:r>
      <w:r w:rsidRPr="000422FD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504с.</w:t>
      </w:r>
    </w:p>
    <w:p w:rsidR="00E11CAA" w:rsidRPr="006E07DF" w:rsidRDefault="00E11CAA" w:rsidP="00E11CAA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786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Хавкин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А.И. Микр</w:t>
      </w:r>
      <w:r>
        <w:rPr>
          <w:rFonts w:ascii="Times New Roman" w:hAnsi="Times New Roman" w:cs="Times New Roman"/>
          <w:sz w:val="28"/>
          <w:szCs w:val="28"/>
        </w:rPr>
        <w:t>обиоценоз кишечника и иммунитет /</w:t>
      </w:r>
      <w:r w:rsidRPr="000422F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А.И. Хавкин</w:t>
      </w:r>
      <w:r>
        <w:rPr>
          <w:rFonts w:ascii="Times New Roman" w:hAnsi="Times New Roman" w:cs="Times New Roman"/>
          <w:sz w:val="28"/>
          <w:szCs w:val="28"/>
        </w:rPr>
        <w:t xml:space="preserve"> //Рус. мед.</w:t>
      </w:r>
      <w:r w:rsidRPr="006E07DF">
        <w:rPr>
          <w:rFonts w:ascii="Times New Roman" w:hAnsi="Times New Roman" w:cs="Times New Roman"/>
          <w:sz w:val="28"/>
          <w:szCs w:val="28"/>
        </w:rPr>
        <w:t xml:space="preserve"> журнал. </w:t>
      </w:r>
      <w:r w:rsidRPr="000422FD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2003. </w:t>
      </w:r>
      <w:r w:rsidRPr="000422FD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7DF">
        <w:rPr>
          <w:rFonts w:ascii="Times New Roman" w:hAnsi="Times New Roman" w:cs="Times New Roman"/>
          <w:sz w:val="28"/>
          <w:szCs w:val="28"/>
        </w:rPr>
        <w:t>11.</w:t>
      </w:r>
      <w:r w:rsidRPr="0085428C">
        <w:rPr>
          <w:rFonts w:ascii="Times New Roman" w:hAnsi="Times New Roman" w:cs="Times New Roman"/>
          <w:sz w:val="28"/>
          <w:szCs w:val="28"/>
        </w:rPr>
        <w:t xml:space="preserve"> </w:t>
      </w:r>
      <w:r w:rsidRPr="000422FD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</w:rPr>
        <w:t>С.122-125.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Чухра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07DF">
        <w:rPr>
          <w:rFonts w:ascii="Times New Roman" w:hAnsi="Times New Roman" w:cs="Times New Roman"/>
          <w:sz w:val="28"/>
          <w:szCs w:val="28"/>
        </w:rPr>
        <w:t xml:space="preserve"> Н.Л. Обґрунтування профілактики карієсу зубів у діте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07DF">
        <w:rPr>
          <w:rFonts w:ascii="Times New Roman" w:hAnsi="Times New Roman" w:cs="Times New Roman"/>
          <w:sz w:val="28"/>
          <w:szCs w:val="28"/>
        </w:rPr>
        <w:t xml:space="preserve"> з гемобластозами : </w:t>
      </w:r>
      <w:r>
        <w:rPr>
          <w:rFonts w:ascii="Times New Roman" w:hAnsi="Times New Roman" w:cs="Times New Roman"/>
          <w:sz w:val="28"/>
          <w:szCs w:val="28"/>
        </w:rPr>
        <w:t>автореф. д</w:t>
      </w:r>
      <w:r w:rsidRPr="006E07DF">
        <w:rPr>
          <w:rFonts w:ascii="Times New Roman" w:hAnsi="Times New Roman" w:cs="Times New Roman"/>
          <w:sz w:val="28"/>
          <w:szCs w:val="28"/>
        </w:rPr>
        <w:t>ис.</w:t>
      </w:r>
      <w:r>
        <w:rPr>
          <w:rFonts w:ascii="Times New Roman" w:hAnsi="Times New Roman" w:cs="Times New Roman"/>
          <w:sz w:val="28"/>
          <w:szCs w:val="28"/>
        </w:rPr>
        <w:t xml:space="preserve"> на здобуття наук. ступеня </w:t>
      </w:r>
      <w:r w:rsidRPr="006E07DF">
        <w:rPr>
          <w:rFonts w:ascii="Times New Roman" w:hAnsi="Times New Roman" w:cs="Times New Roman"/>
          <w:sz w:val="28"/>
          <w:szCs w:val="28"/>
        </w:rPr>
        <w:t>канд.</w:t>
      </w:r>
      <w:r>
        <w:rPr>
          <w:rFonts w:ascii="Times New Roman" w:hAnsi="Times New Roman" w:cs="Times New Roman"/>
          <w:sz w:val="28"/>
          <w:szCs w:val="28"/>
        </w:rPr>
        <w:t xml:space="preserve"> мед.</w:t>
      </w:r>
      <w:r w:rsidRPr="006E07DF">
        <w:rPr>
          <w:rFonts w:ascii="Times New Roman" w:hAnsi="Times New Roman" w:cs="Times New Roman"/>
          <w:sz w:val="28"/>
          <w:szCs w:val="28"/>
        </w:rPr>
        <w:t>наук:</w:t>
      </w:r>
      <w:r>
        <w:rPr>
          <w:rFonts w:ascii="Times New Roman" w:hAnsi="Times New Roman" w:cs="Times New Roman"/>
          <w:sz w:val="28"/>
          <w:szCs w:val="28"/>
        </w:rPr>
        <w:t xml:space="preserve"> спец. </w:t>
      </w:r>
      <w:r w:rsidRPr="006E07DF">
        <w:rPr>
          <w:rFonts w:ascii="Times New Roman" w:hAnsi="Times New Roman" w:cs="Times New Roman"/>
          <w:sz w:val="28"/>
          <w:szCs w:val="28"/>
        </w:rPr>
        <w:t>14.01.22</w:t>
      </w:r>
      <w:r>
        <w:rPr>
          <w:rFonts w:ascii="Times New Roman" w:hAnsi="Times New Roman" w:cs="Times New Roman"/>
          <w:sz w:val="28"/>
          <w:szCs w:val="28"/>
        </w:rPr>
        <w:t xml:space="preserve"> / Н.Л. Чухрай.</w:t>
      </w:r>
      <w:r w:rsidRPr="00D21688">
        <w:rPr>
          <w:rFonts w:ascii="Times New Roman" w:hAnsi="Times New Roman" w:cs="Times New Roman"/>
          <w:sz w:val="28"/>
          <w:szCs w:val="28"/>
        </w:rPr>
        <w:t xml:space="preserve"> </w:t>
      </w:r>
      <w:r w:rsidRPr="000422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07DF">
        <w:rPr>
          <w:rFonts w:ascii="Times New Roman" w:hAnsi="Times New Roman" w:cs="Times New Roman"/>
          <w:sz w:val="28"/>
          <w:szCs w:val="28"/>
        </w:rPr>
        <w:t>2005.</w:t>
      </w:r>
      <w:r w:rsidRPr="00D21688">
        <w:rPr>
          <w:rFonts w:ascii="Times New Roman" w:hAnsi="Times New Roman" w:cs="Times New Roman"/>
          <w:sz w:val="28"/>
          <w:szCs w:val="28"/>
        </w:rPr>
        <w:t xml:space="preserve"> </w:t>
      </w:r>
      <w:r w:rsidRPr="000422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15 с.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28232A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Янковски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07D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Микрофлора и здоровье человека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422FD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07DF">
        <w:rPr>
          <w:rFonts w:ascii="Times New Roman" w:hAnsi="Times New Roman" w:cs="Times New Roman"/>
          <w:sz w:val="28"/>
          <w:szCs w:val="28"/>
        </w:rPr>
        <w:t xml:space="preserve"> Янковски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07DF">
        <w:rPr>
          <w:rFonts w:ascii="Times New Roman" w:hAnsi="Times New Roman" w:cs="Times New Roman"/>
          <w:sz w:val="28"/>
          <w:szCs w:val="28"/>
        </w:rPr>
        <w:t>Г.С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</w:rPr>
        <w:t xml:space="preserve"> Дымент. </w:t>
      </w:r>
      <w:r w:rsidRPr="000422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Киев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Червона Рута Турс, </w:t>
      </w:r>
      <w:r w:rsidRPr="006E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6E07DF">
        <w:rPr>
          <w:rFonts w:ascii="Times New Roman" w:hAnsi="Times New Roman" w:cs="Times New Roman"/>
          <w:sz w:val="28"/>
          <w:szCs w:val="28"/>
        </w:rPr>
        <w:t xml:space="preserve">. </w:t>
      </w:r>
      <w:r w:rsidRPr="000422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552 с.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282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Микрофлора полости рта: норма и патология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6E0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Е.Г.</w:t>
      </w:r>
      <w:r w:rsidRPr="00693A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Зеленова, М.И.</w:t>
      </w:r>
      <w:r w:rsidRPr="00693A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Заславская, Е.В.</w:t>
      </w:r>
      <w:r w:rsidRPr="00693A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Салина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  <w:r w:rsidRPr="006E07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С.П.</w:t>
      </w:r>
      <w:r w:rsidRPr="006E0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Рассанов</w:t>
      </w:r>
      <w:r w:rsidRPr="006E0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</w:t>
      </w:r>
      <w:r w:rsidRPr="006E0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  <w:r w:rsidRPr="006E07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422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Н.Новгород: НГМА, </w:t>
      </w:r>
      <w:r w:rsidRPr="006E07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2004,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158</w:t>
      </w:r>
      <w:r w:rsidRPr="006E07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</w:t>
      </w:r>
    </w:p>
    <w:p w:rsidR="00E11CAA" w:rsidRPr="00D10C69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CD6444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Proud  D. The  role of defensins in  virus-indused  asthma</w:t>
      </w:r>
      <w:r w:rsidRPr="001365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 w:rsidRPr="001365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D. Proud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//  Curr. Allergy</w:t>
      </w:r>
      <w:r w:rsidRPr="00D10C69">
        <w:rPr>
          <w:rFonts w:ascii="Times New Roman" w:hAnsi="Times New Roman" w:cs="Times New Roman"/>
          <w:sz w:val="28"/>
          <w:szCs w:val="28"/>
        </w:rPr>
        <w:t xml:space="preserve"> 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AsthmaRep</w:t>
      </w:r>
      <w:r w:rsidRPr="00D10C69">
        <w:rPr>
          <w:rFonts w:ascii="Times New Roman" w:hAnsi="Times New Roman" w:cs="Times New Roman"/>
          <w:sz w:val="28"/>
          <w:szCs w:val="28"/>
        </w:rPr>
        <w:t>.–2006–</w:t>
      </w:r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D10C69">
        <w:rPr>
          <w:rFonts w:ascii="Times New Roman" w:hAnsi="Times New Roman" w:cs="Times New Roman"/>
          <w:sz w:val="28"/>
          <w:szCs w:val="28"/>
        </w:rPr>
        <w:t>.6.–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0C69">
        <w:rPr>
          <w:rFonts w:ascii="Times New Roman" w:hAnsi="Times New Roman" w:cs="Times New Roman"/>
          <w:sz w:val="28"/>
          <w:szCs w:val="28"/>
        </w:rPr>
        <w:t>.81-85.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</w:rPr>
      </w:pPr>
      <w:r w:rsidRPr="00D10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  <w:r w:rsidRPr="00D10C69"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>В.М. Дисбактериоз кишечника к</w:t>
      </w:r>
      <w:r>
        <w:rPr>
          <w:rFonts w:ascii="Times New Roman" w:hAnsi="Times New Roman" w:cs="Times New Roman"/>
          <w:sz w:val="28"/>
          <w:szCs w:val="28"/>
        </w:rPr>
        <w:t>ак клинико-лабораторный синдро</w:t>
      </w:r>
      <w:r w:rsidRPr="00D10C69">
        <w:rPr>
          <w:rFonts w:ascii="Times New Roman" w:hAnsi="Times New Roman" w:cs="Times New Roman"/>
          <w:sz w:val="28"/>
          <w:szCs w:val="28"/>
        </w:rPr>
        <w:t>м.</w:t>
      </w:r>
      <w:r w:rsidRPr="006E07DF">
        <w:rPr>
          <w:rFonts w:ascii="Times New Roman" w:hAnsi="Times New Roman" w:cs="Times New Roman"/>
          <w:sz w:val="28"/>
          <w:szCs w:val="28"/>
        </w:rPr>
        <w:t xml:space="preserve"> Современное состояние проблем</w:t>
      </w:r>
      <w:r>
        <w:rPr>
          <w:rFonts w:ascii="Times New Roman" w:hAnsi="Times New Roman" w:cs="Times New Roman"/>
          <w:sz w:val="28"/>
          <w:szCs w:val="28"/>
        </w:rPr>
        <w:t>ы: руководство для врачей / В.М.</w:t>
      </w:r>
      <w:r w:rsidRPr="006E07DF">
        <w:rPr>
          <w:rFonts w:ascii="Times New Roman" w:hAnsi="Times New Roman" w:cs="Times New Roman"/>
          <w:sz w:val="28"/>
          <w:szCs w:val="28"/>
        </w:rPr>
        <w:t xml:space="preserve"> Бондаренко, Т.В.Мацулевич.</w:t>
      </w:r>
      <w:r w:rsidRPr="00D10C6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6E07DF">
        <w:rPr>
          <w:rFonts w:ascii="Times New Roman" w:hAnsi="Times New Roman" w:cs="Times New Roman"/>
          <w:sz w:val="28"/>
          <w:szCs w:val="28"/>
        </w:rPr>
        <w:t>: ГЕОТАР- Медиа, 2008.</w:t>
      </w:r>
      <w:r w:rsidRPr="00D10C6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</w:rPr>
        <w:t xml:space="preserve">424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07DF">
        <w:rPr>
          <w:rFonts w:ascii="Times New Roman" w:hAnsi="Times New Roman" w:cs="Times New Roman"/>
          <w:sz w:val="28"/>
          <w:szCs w:val="28"/>
        </w:rPr>
        <w:t>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Xiong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Y.Q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 Inhibition  of  intracellular  macromolecular  synthesis in  Staphylococcus  auerus  by  thrombin-indused platelet   microbicidal  proteins</w:t>
      </w:r>
      <w:r w:rsidRPr="003F70D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Y.Q</w:t>
      </w:r>
      <w:r w:rsidRPr="003F70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Xiong</w:t>
      </w:r>
      <w:r w:rsidRPr="003F70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A.S.</w:t>
      </w:r>
      <w:r w:rsidRPr="003F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Bayer</w:t>
      </w:r>
      <w:r w:rsidRPr="003F70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M.R. Yeaman</w:t>
      </w:r>
      <w:r w:rsidRPr="003F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// J. Infect. Dis.</w:t>
      </w:r>
      <w:r w:rsidRPr="003F70DD">
        <w:rPr>
          <w:rFonts w:ascii="Times New Roman" w:hAnsi="Times New Roman" w:cs="Times New Roman"/>
          <w:sz w:val="28"/>
          <w:szCs w:val="28"/>
        </w:rPr>
        <w:t xml:space="preserve"> </w:t>
      </w:r>
      <w:r w:rsidRPr="00D10C69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2002. –  Vol. 185,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3.–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P.348-356.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Slots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J. Selection of antimicrobial agents in periodontal therapy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/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J. Slots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// Periodontal. Res. </w:t>
      </w:r>
      <w:r w:rsidRPr="00D10C69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2002.</w:t>
      </w:r>
      <w:r w:rsidRPr="001567EF">
        <w:rPr>
          <w:rFonts w:ascii="Times New Roman" w:hAnsi="Times New Roman" w:cs="Times New Roman"/>
          <w:sz w:val="28"/>
          <w:szCs w:val="28"/>
        </w:rPr>
        <w:t xml:space="preserve"> </w:t>
      </w:r>
      <w:r w:rsidRPr="00D10C69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 w:eastAsia="de-DE"/>
        </w:rPr>
        <w:t>N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5.</w:t>
      </w:r>
      <w:r w:rsidRPr="001567EF">
        <w:rPr>
          <w:rFonts w:ascii="Times New Roman" w:hAnsi="Times New Roman" w:cs="Times New Roman"/>
          <w:sz w:val="28"/>
          <w:szCs w:val="28"/>
        </w:rPr>
        <w:t xml:space="preserve"> </w:t>
      </w:r>
      <w:r w:rsidRPr="00D10C69">
        <w:rPr>
          <w:rFonts w:ascii="Times New Roman" w:hAnsi="Times New Roman" w:cs="Times New Roman"/>
          <w:sz w:val="28"/>
          <w:szCs w:val="28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-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P.3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89-398.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High prevalence of Helicobacter pylori detected by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PCR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in the oral cavities of periodontitis patients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/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M. Umeda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et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J. PeriodontaL</w:t>
      </w:r>
      <w:r w:rsidRPr="001567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2003.</w:t>
      </w:r>
      <w:r w:rsidRPr="001567E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74.</w:t>
      </w:r>
      <w:r w:rsidRPr="001567E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129-134.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Schutte  B.S., McCray  P.B. Jr. β-Defensins in  lung  host  defense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>/</w:t>
      </w:r>
      <w:r w:rsidRPr="0015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B.S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5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Schutte</w:t>
      </w:r>
      <w:r w:rsidRPr="001567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P.B. McCray // Annu. Rev. Physiol. –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2002. –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Vol.64. – P.  709-748.</w:t>
      </w:r>
    </w:p>
    <w:p w:rsidR="00E11CAA" w:rsidRPr="006E07DF" w:rsidRDefault="00DF4C23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1CAA">
        <w:rPr>
          <w:rFonts w:ascii="Times New Roman" w:hAnsi="Times New Roman" w:cs="Times New Roman"/>
          <w:sz w:val="28"/>
          <w:szCs w:val="28"/>
          <w:lang w:val="en-US"/>
        </w:rPr>
        <w:t>Scannapieco</w:t>
      </w:r>
      <w:r w:rsidR="00E11CAA" w:rsidRPr="0015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1CAA">
        <w:rPr>
          <w:rFonts w:ascii="Times New Roman" w:hAnsi="Times New Roman" w:cs="Times New Roman"/>
          <w:sz w:val="28"/>
          <w:szCs w:val="28"/>
          <w:lang w:val="en-US"/>
        </w:rPr>
        <w:t xml:space="preserve"> F.</w:t>
      </w:r>
      <w:r w:rsidR="00E11CAA" w:rsidRPr="006E07DF">
        <w:rPr>
          <w:rFonts w:ascii="Times New Roman" w:hAnsi="Times New Roman" w:cs="Times New Roman"/>
          <w:sz w:val="28"/>
          <w:szCs w:val="28"/>
          <w:lang w:val="en-US"/>
        </w:rPr>
        <w:t>A. Association of periodontal infections with atherosclerotic and pulmonary diseases  /</w:t>
      </w:r>
      <w:r w:rsidR="00E11CAA" w:rsidRPr="00770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F. A. Scannapieco, R J. Genco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// </w:t>
      </w:r>
      <w:r w:rsidR="00E11CAA" w:rsidRPr="006E07DF">
        <w:rPr>
          <w:rFonts w:ascii="Times New Roman" w:hAnsi="Times New Roman" w:cs="Times New Roman"/>
          <w:sz w:val="28"/>
          <w:szCs w:val="28"/>
          <w:lang w:val="en-US"/>
        </w:rPr>
        <w:t>J. Periodontal. Res. –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1999. </w:t>
      </w:r>
      <w:r w:rsidR="00E11CAA" w:rsidRPr="006E07D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34. </w:t>
      </w:r>
      <w:r w:rsidR="00E11CAA" w:rsidRPr="006E07D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="00E11CAA" w:rsidRPr="006E07DF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E11CAA" w:rsidRPr="006E07DF">
        <w:rPr>
          <w:rFonts w:ascii="Times New Roman" w:hAnsi="Times New Roman" w:cs="Times New Roman"/>
          <w:sz w:val="28"/>
          <w:szCs w:val="28"/>
          <w:lang w:val="de-DE" w:eastAsia="de-DE"/>
        </w:rPr>
        <w:t>340-345.</w:t>
      </w:r>
    </w:p>
    <w:p w:rsidR="00E11CAA" w:rsidRPr="006E07DF" w:rsidRDefault="00E11CAA" w:rsidP="00E11CAA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Hacock R.E.W.,</w:t>
      </w:r>
      <w:r w:rsidRPr="00770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Scott M.G.  The  role  of   antimicrobial  peptides in  animal  defenses</w:t>
      </w:r>
      <w:r w:rsidRPr="00770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70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R.E.W.</w:t>
      </w:r>
      <w:r w:rsidRPr="00770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Hacock</w:t>
      </w:r>
      <w:r w:rsidRPr="007704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M.G</w:t>
      </w:r>
      <w:r w:rsidRPr="007704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Scott</w:t>
      </w:r>
      <w:r w:rsidRPr="00770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//  PNAS – 2000. – Vol. 97,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6E07DF">
        <w:rPr>
          <w:rFonts w:ascii="Times New Roman" w:hAnsi="Times New Roman" w:cs="Times New Roman"/>
          <w:sz w:val="28"/>
          <w:szCs w:val="28"/>
          <w:lang w:val="en-US"/>
        </w:rPr>
        <w:t>16. – P. 8856 – 8861.</w:t>
      </w:r>
    </w:p>
    <w:p w:rsidR="00E11CAA" w:rsidRPr="00F74181" w:rsidRDefault="00E11CAA" w:rsidP="00E11CAA">
      <w:pPr>
        <w:pStyle w:val="a3"/>
        <w:numPr>
          <w:ilvl w:val="0"/>
          <w:numId w:val="11"/>
        </w:numPr>
        <w:tabs>
          <w:tab w:val="left" w:pos="1340"/>
        </w:tabs>
        <w:spacing w:after="0" w:line="360" w:lineRule="auto"/>
        <w:ind w:left="786" w:hanging="50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Genomics and World Health: Report of the Advisory Committee on Health Research / WHO</w:t>
      </w:r>
      <w:r w:rsidRPr="00770452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– Geneva, 2002. – 241 p.</w:t>
      </w:r>
    </w:p>
    <w:p w:rsidR="00E11CAA" w:rsidRPr="00F74181" w:rsidRDefault="00E11CAA" w:rsidP="00E11CAA">
      <w:pPr>
        <w:pStyle w:val="a3"/>
        <w:numPr>
          <w:ilvl w:val="0"/>
          <w:numId w:val="11"/>
        </w:numPr>
        <w:tabs>
          <w:tab w:val="left" w:pos="1340"/>
        </w:tabs>
        <w:spacing w:after="0" w:line="360" w:lineRule="auto"/>
        <w:ind w:left="786" w:hanging="50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Antimicrobial peptides: general overview and clinical implications in human health and disease /</w:t>
      </w:r>
      <w:r w:rsidRPr="00F34AE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E.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Guani-Guerra</w:t>
      </w:r>
      <w:r w:rsidRPr="00F34AE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T.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Santos-Mendosa</w:t>
      </w:r>
      <w:r w:rsidRPr="00F34AE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S.O.</w:t>
      </w:r>
      <w:r w:rsidRPr="00F34AE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Lugo-Reyes</w:t>
      </w:r>
      <w:r w:rsidRPr="00F34AE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L.M. Teran</w:t>
      </w:r>
      <w:r w:rsidRPr="00F34AE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// Clin. Immunol. – 2010. – Vol. 135,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1. – P. 1-11.</w:t>
      </w:r>
    </w:p>
    <w:p w:rsidR="00E11CAA" w:rsidRPr="00F74181" w:rsidRDefault="00E11CAA" w:rsidP="00E11CAA">
      <w:pPr>
        <w:pStyle w:val="a3"/>
        <w:numPr>
          <w:ilvl w:val="0"/>
          <w:numId w:val="11"/>
        </w:numPr>
        <w:tabs>
          <w:tab w:val="left" w:pos="1340"/>
        </w:tabs>
        <w:spacing w:after="0" w:line="360" w:lineRule="auto"/>
        <w:ind w:left="786" w:hanging="50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Human alpha-defensins neutralize toxins of the mono-ADP-ribosyltransferase family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/</w:t>
      </w:r>
      <w:r w:rsidRPr="00C7702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C.</w:t>
      </w:r>
      <w:r w:rsidRPr="00C7702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Kim</w:t>
      </w:r>
      <w:r w:rsidRPr="00C77024">
        <w:rPr>
          <w:rFonts w:ascii="Times New Roman" w:eastAsia="MS Mincho" w:hAnsi="Times New Roman" w:cs="Times New Roman"/>
          <w:sz w:val="28"/>
          <w:szCs w:val="28"/>
          <w:lang w:val="en-US"/>
        </w:rPr>
        <w:t>,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Z</w:t>
      </w:r>
      <w:r w:rsidRPr="00C7702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Slavinskay</w:t>
      </w:r>
      <w:r w:rsidRPr="00C7702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A.R</w:t>
      </w:r>
      <w:r w:rsidRPr="00C7702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Merril</w:t>
      </w:r>
      <w:r w:rsidRPr="00C7702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S.H. Kaufmann</w:t>
      </w:r>
      <w:r w:rsidRPr="00C7702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//</w:t>
      </w:r>
      <w:r w:rsidRPr="00C7702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Biochem J. – 2006. – Vol.399,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2. – P. 225-229.</w:t>
      </w:r>
    </w:p>
    <w:p w:rsidR="00E11CAA" w:rsidRPr="00F74181" w:rsidRDefault="00E11CAA" w:rsidP="00E11CAA">
      <w:pPr>
        <w:pStyle w:val="a3"/>
        <w:numPr>
          <w:ilvl w:val="0"/>
          <w:numId w:val="11"/>
        </w:numPr>
        <w:tabs>
          <w:tab w:val="left" w:pos="1340"/>
        </w:tabs>
        <w:spacing w:after="0" w:line="360" w:lineRule="auto"/>
        <w:ind w:left="786" w:hanging="50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Biological characteristics of defensing and its desease-resistance genetic engineering /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L.B.</w:t>
      </w:r>
      <w:r w:rsidRPr="00416BC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Fu, J.L.</w:t>
      </w:r>
      <w:r w:rsidRPr="00416BC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Yu, W.H.</w:t>
      </w:r>
      <w:r w:rsidRPr="00416BC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Liu // Yi Chuan. – 2011. – Vol. 33,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5. – P. 512-519.</w:t>
      </w:r>
    </w:p>
    <w:p w:rsidR="00E11CAA" w:rsidRPr="00F74181" w:rsidRDefault="00E11CAA" w:rsidP="00E11CAA">
      <w:pPr>
        <w:pStyle w:val="a3"/>
        <w:numPr>
          <w:ilvl w:val="0"/>
          <w:numId w:val="11"/>
        </w:numPr>
        <w:tabs>
          <w:tab w:val="left" w:pos="1340"/>
        </w:tabs>
        <w:spacing w:after="0" w:line="360" w:lineRule="auto"/>
        <w:ind w:left="786" w:hanging="502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Hua J.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Activity of antimicrobial peptide mimetics in the oral cavity: II. Activity against periopathogenic biofilms and anti-inflammatory activity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J. Hua,</w:t>
      </w:r>
      <w:r w:rsidRPr="00416BC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R.W.</w:t>
      </w:r>
      <w:r w:rsidRPr="00416BC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Scott, G. Dimond // Mol. Oral. Microbial. – 2010. – Vol.25,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6. – P. 426-432.</w:t>
      </w:r>
    </w:p>
    <w:p w:rsidR="00E11CAA" w:rsidRPr="00F74181" w:rsidRDefault="00E11CAA" w:rsidP="00E11CAA">
      <w:pPr>
        <w:pStyle w:val="a3"/>
        <w:numPr>
          <w:ilvl w:val="0"/>
          <w:numId w:val="11"/>
        </w:numPr>
        <w:tabs>
          <w:tab w:val="left" w:pos="1340"/>
        </w:tabs>
        <w:spacing w:after="0" w:line="360" w:lineRule="auto"/>
        <w:ind w:left="786" w:hanging="50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Antibactrial   peptides: bacic  facts  and   emerging  concepts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H.G.</w:t>
      </w:r>
      <w:r w:rsidRPr="00264C2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Boman  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//  J. Inter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 Med. – 2004. – Vol.255,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4. – P.519-520.</w:t>
      </w:r>
    </w:p>
    <w:p w:rsidR="00E11CAA" w:rsidRPr="00F74181" w:rsidRDefault="00E11CAA" w:rsidP="00E11CAA">
      <w:pPr>
        <w:pStyle w:val="a3"/>
        <w:numPr>
          <w:ilvl w:val="0"/>
          <w:numId w:val="11"/>
        </w:numPr>
        <w:tabs>
          <w:tab w:val="left" w:pos="1340"/>
        </w:tabs>
        <w:spacing w:after="0" w:line="360" w:lineRule="auto"/>
        <w:ind w:left="786" w:hanging="50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Defensins as anti-inflammatory  compounds  and  mucosal  adjuvants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/  K.G.</w:t>
      </w:r>
      <w:r w:rsidRPr="00264C2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Kohlgraf,  L.C.</w:t>
      </w:r>
      <w:r w:rsidRPr="00264C2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Pingel,    D.E.</w:t>
      </w:r>
      <w:r w:rsidRPr="00264C2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Dietrich,  K.A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Brogden //  Future  Microbiol. –  2010.  –  Vol. 5,</w:t>
      </w:r>
      <w:r w:rsidRPr="00F7418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1. – P.99-113.</w:t>
      </w:r>
    </w:p>
    <w:p w:rsidR="00E11CAA" w:rsidRPr="00F74181" w:rsidRDefault="00E11CAA" w:rsidP="00E11CAA">
      <w:pPr>
        <w:pStyle w:val="a3"/>
        <w:numPr>
          <w:ilvl w:val="0"/>
          <w:numId w:val="11"/>
        </w:numPr>
        <w:tabs>
          <w:tab w:val="left" w:pos="1340"/>
        </w:tabs>
        <w:spacing w:after="0" w:line="360" w:lineRule="auto"/>
        <w:ind w:left="786" w:hanging="50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C1A8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Auvynet C. Multifunctional host </w:t>
      </w:r>
      <w:r w:rsidR="00BC1A84" w:rsidRPr="00444389">
        <w:rPr>
          <w:rFonts w:ascii="Times New Roman" w:eastAsia="MS Mincho" w:hAnsi="Times New Roman" w:cs="Times New Roman"/>
          <w:sz w:val="28"/>
          <w:szCs w:val="28"/>
          <w:lang w:val="en-US"/>
        </w:rPr>
        <w:t>defens</w:t>
      </w:r>
      <w:r w:rsidR="00FB006C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="00BC1A8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C1A84"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peptides:</w:t>
      </w:r>
      <w:r w:rsidR="00BC1A8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antimicrobial </w:t>
      </w:r>
      <w:r w:rsidR="00BC1A84"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peptides,</w:t>
      </w:r>
      <w:r w:rsidR="00BC1A8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the smallyet big players in innateand ad</w:t>
      </w:r>
      <w:r w:rsidR="00CE75B0">
        <w:rPr>
          <w:rFonts w:ascii="Times New Roman" w:eastAsia="MS Mincho" w:hAnsi="Times New Roman" w:cs="Times New Roman"/>
          <w:sz w:val="28"/>
          <w:szCs w:val="28"/>
          <w:lang w:val="en-US"/>
        </w:rPr>
        <w:t>aptive immunity</w:t>
      </w:r>
      <w:r w:rsidR="00CE75B0"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/</w:t>
      </w:r>
      <w:r w:rsidR="00CE75B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C.</w:t>
      </w:r>
      <w:r w:rsidR="00CE75B0" w:rsidRPr="00CE75B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CE75B0">
        <w:rPr>
          <w:rFonts w:ascii="Times New Roman" w:eastAsia="MS Mincho" w:hAnsi="Times New Roman" w:cs="Times New Roman"/>
          <w:sz w:val="28"/>
          <w:szCs w:val="28"/>
          <w:lang w:val="en-US"/>
        </w:rPr>
        <w:t>Auvynet</w:t>
      </w:r>
      <w:r w:rsidR="00CE75B0"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,</w:t>
      </w:r>
      <w:r w:rsidR="00CE75B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Y. Rosenstein </w:t>
      </w:r>
      <w:r w:rsidR="00CE75B0"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//</w:t>
      </w:r>
      <w:r w:rsidR="00CE75B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The FEBS JOURNAL</w:t>
      </w:r>
      <w:r w:rsidR="00CE75B0"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,</w:t>
      </w:r>
      <w:r w:rsidR="00CE75B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2009</w:t>
      </w:r>
      <w:r w:rsidR="00CE75B0"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,</w:t>
      </w:r>
      <w:r w:rsidR="00CE75B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276(22)</w:t>
      </w:r>
      <w:r w:rsidR="00CE75B0" w:rsidRPr="00CE75B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CE75B0"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:</w:t>
      </w:r>
      <w:r w:rsidR="00CE75B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6497-508.</w:t>
      </w:r>
    </w:p>
    <w:p w:rsidR="00E11CAA" w:rsidRPr="00F74181" w:rsidRDefault="00E11CAA" w:rsidP="00E11CAA">
      <w:pPr>
        <w:pStyle w:val="a3"/>
        <w:numPr>
          <w:ilvl w:val="0"/>
          <w:numId w:val="11"/>
        </w:numPr>
        <w:tabs>
          <w:tab w:val="left" w:pos="1340"/>
        </w:tabs>
        <w:spacing w:after="0" w:line="360" w:lineRule="auto"/>
        <w:ind w:left="786" w:hanging="50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Tagushi  Y.</w:t>
      </w:r>
      <w:r w:rsidRPr="00910753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444389">
        <w:rPr>
          <w:rFonts w:ascii="Times New Roman" w:eastAsia="MS Mincho" w:hAnsi="Times New Roman" w:cs="Times New Roman"/>
          <w:sz w:val="28"/>
          <w:szCs w:val="28"/>
          <w:lang w:val="en-US"/>
        </w:rPr>
        <w:t>Exspression  of   beta-defensin-2  in human  gingival epithelial  cells in response to challenge with   Porphyromonas  gingivalis  in  vitro</w:t>
      </w:r>
      <w:r w:rsidRPr="00910753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444389">
        <w:rPr>
          <w:rFonts w:ascii="Times New Roman" w:eastAsia="MS Mincho" w:hAnsi="Times New Roman" w:cs="Times New Roman"/>
          <w:sz w:val="28"/>
          <w:szCs w:val="28"/>
          <w:lang w:val="en-US"/>
        </w:rPr>
        <w:t>/</w:t>
      </w:r>
      <w:r w:rsidRPr="00910753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444389">
        <w:rPr>
          <w:rFonts w:ascii="Times New Roman" w:eastAsia="MS Mincho" w:hAnsi="Times New Roman" w:cs="Times New Roman"/>
          <w:sz w:val="28"/>
          <w:szCs w:val="28"/>
          <w:lang w:val="en-US"/>
        </w:rPr>
        <w:t>Y</w:t>
      </w:r>
      <w:r w:rsidRPr="00910753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r w:rsidRPr="00444389">
        <w:rPr>
          <w:rFonts w:ascii="Times New Roman" w:eastAsia="MS Mincho" w:hAnsi="Times New Roman" w:cs="Times New Roman"/>
          <w:sz w:val="28"/>
          <w:szCs w:val="28"/>
          <w:lang w:val="en-US"/>
        </w:rPr>
        <w:t>Tagushi</w:t>
      </w:r>
      <w:r w:rsidRPr="00910753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r w:rsidRPr="00444389">
        <w:rPr>
          <w:rFonts w:ascii="Times New Roman" w:eastAsia="MS Mincho" w:hAnsi="Times New Roman" w:cs="Times New Roman"/>
          <w:sz w:val="28"/>
          <w:szCs w:val="28"/>
          <w:lang w:val="en-US"/>
        </w:rPr>
        <w:t>H.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Imai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/</w:t>
      </w:r>
      <w:r w:rsidRPr="00444389">
        <w:rPr>
          <w:rFonts w:ascii="Times New Roman" w:eastAsia="MS Mincho" w:hAnsi="Times New Roman" w:cs="Times New Roman"/>
          <w:sz w:val="28"/>
          <w:szCs w:val="28"/>
          <w:lang w:val="en-US"/>
        </w:rPr>
        <w:t>/  J. Periodontal.</w:t>
      </w:r>
      <w:r w:rsidRPr="00910753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Res. – 2006. – </w:t>
      </w:r>
      <w:r w:rsidRPr="00444389">
        <w:rPr>
          <w:rFonts w:ascii="Times New Roman" w:eastAsia="MS Mincho" w:hAnsi="Times New Roman" w:cs="Times New Roman"/>
          <w:sz w:val="28"/>
          <w:szCs w:val="28"/>
          <w:lang w:val="en-US"/>
        </w:rPr>
        <w:t>Vol. 41, № 4,- P.334-339.</w:t>
      </w:r>
    </w:p>
    <w:p w:rsidR="00E11CAA" w:rsidRPr="00061A69" w:rsidRDefault="00E11CAA" w:rsidP="00E11CAA">
      <w:pPr>
        <w:pStyle w:val="a3"/>
        <w:numPr>
          <w:ilvl w:val="0"/>
          <w:numId w:val="11"/>
        </w:numPr>
        <w:tabs>
          <w:tab w:val="left" w:pos="1340"/>
        </w:tabs>
        <w:spacing w:after="0" w:line="360" w:lineRule="auto"/>
        <w:ind w:left="786" w:hanging="50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Underwoo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d M. A.</w:t>
      </w:r>
      <w:r w:rsidRPr="00E7618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Defensin-Barbed  Innate  Immunity: Clinical  Associatons in  the Pediatrik   Population</w:t>
      </w:r>
      <w:r w:rsidRPr="00E7618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444389">
        <w:rPr>
          <w:rFonts w:ascii="Times New Roman" w:eastAsia="MS Mincho" w:hAnsi="Times New Roman" w:cs="Times New Roman"/>
          <w:sz w:val="28"/>
          <w:szCs w:val="28"/>
          <w:lang w:val="en-US"/>
        </w:rPr>
        <w:t>/</w:t>
      </w:r>
      <w:r w:rsidRPr="00E7618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M. A</w:t>
      </w:r>
      <w:r w:rsidRPr="00E7618A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Pr="00910753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Underwood</w:t>
      </w:r>
      <w:r w:rsidRPr="00E7618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C. L. Bevins </w:t>
      </w:r>
      <w:r w:rsidRPr="00E7618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//Pediatrics. – 2010. -  Vol. 125,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N </w:t>
      </w:r>
      <w:r w:rsidRPr="00F74181">
        <w:rPr>
          <w:rFonts w:ascii="Times New Roman" w:eastAsia="MS Mincho" w:hAnsi="Times New Roman" w:cs="Times New Roman"/>
          <w:sz w:val="28"/>
          <w:szCs w:val="28"/>
          <w:lang w:val="en-US"/>
        </w:rPr>
        <w:t>6. –  P. 1237-1237.</w:t>
      </w:r>
    </w:p>
    <w:p w:rsidR="00E11CAA" w:rsidRPr="00061A69" w:rsidRDefault="00E11CAA" w:rsidP="00E11CAA">
      <w:pPr>
        <w:pStyle w:val="a3"/>
        <w:numPr>
          <w:ilvl w:val="0"/>
          <w:numId w:val="11"/>
        </w:numPr>
        <w:tabs>
          <w:tab w:val="left" w:pos="1340"/>
        </w:tabs>
        <w:spacing w:after="0" w:line="360" w:lineRule="auto"/>
        <w:ind w:left="786" w:hanging="5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1CA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061A69">
        <w:rPr>
          <w:rFonts w:ascii="Times New Roman" w:eastAsia="MS Mincho" w:hAnsi="Times New Roman" w:cs="Times New Roman"/>
          <w:sz w:val="28"/>
          <w:szCs w:val="28"/>
        </w:rPr>
        <w:t xml:space="preserve">Кренделев М.С. Нормальная микрофлора ротовой полости человека </w:t>
      </w:r>
      <w:r w:rsidRPr="00E7618A">
        <w:rPr>
          <w:rFonts w:ascii="Times New Roman" w:eastAsia="MS Mincho" w:hAnsi="Times New Roman" w:cs="Times New Roman"/>
          <w:sz w:val="28"/>
          <w:szCs w:val="28"/>
        </w:rPr>
        <w:t xml:space="preserve">  / </w:t>
      </w:r>
      <w:r w:rsidRPr="00061A69">
        <w:rPr>
          <w:rFonts w:ascii="Times New Roman" w:eastAsia="MS Mincho" w:hAnsi="Times New Roman" w:cs="Times New Roman"/>
          <w:sz w:val="28"/>
          <w:szCs w:val="28"/>
        </w:rPr>
        <w:t>М.С. Кренделев // Современные проблемы науки и образова</w:t>
      </w:r>
      <w:r>
        <w:rPr>
          <w:rFonts w:ascii="Times New Roman" w:eastAsia="MS Mincho" w:hAnsi="Times New Roman" w:cs="Times New Roman"/>
          <w:sz w:val="28"/>
          <w:szCs w:val="28"/>
        </w:rPr>
        <w:t>ния. – 2015. – № 5.</w:t>
      </w:r>
    </w:p>
    <w:p w:rsidR="00E11CAA" w:rsidRPr="00061A69" w:rsidRDefault="00E11CAA" w:rsidP="00E11CAA">
      <w:pPr>
        <w:pStyle w:val="a3"/>
        <w:tabs>
          <w:tab w:val="left" w:pos="1340"/>
        </w:tabs>
        <w:spacing w:line="360" w:lineRule="auto"/>
        <w:ind w:left="64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CAA" w:rsidRPr="00061A69" w:rsidRDefault="00E11CAA" w:rsidP="00E11CAA">
      <w:pPr>
        <w:tabs>
          <w:tab w:val="left" w:pos="1340"/>
        </w:tabs>
        <w:spacing w:line="360" w:lineRule="auto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CAA" w:rsidRPr="00061A69" w:rsidRDefault="00E11CAA" w:rsidP="00E11CAA">
      <w:pPr>
        <w:pStyle w:val="a3"/>
        <w:tabs>
          <w:tab w:val="left" w:pos="1340"/>
        </w:tabs>
        <w:spacing w:line="360" w:lineRule="auto"/>
        <w:ind w:left="64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CAA" w:rsidRPr="00061A69" w:rsidRDefault="00E11CAA" w:rsidP="00E11CAA">
      <w:pPr>
        <w:tabs>
          <w:tab w:val="left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CAA" w:rsidRPr="00061A69" w:rsidRDefault="00E11CAA" w:rsidP="00E11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11CAA" w:rsidRPr="001A1BE1" w:rsidRDefault="00E11CAA" w:rsidP="00E11C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1CAA" w:rsidRPr="00061A69" w:rsidRDefault="00E11CAA" w:rsidP="00E11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CAA" w:rsidRPr="00061A69" w:rsidRDefault="00E11CAA" w:rsidP="00E11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CAA" w:rsidRPr="00061A69" w:rsidRDefault="00E11CAA" w:rsidP="00E11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CAA" w:rsidRPr="00061A69" w:rsidRDefault="00E11CAA" w:rsidP="00E11CAA">
      <w:pPr>
        <w:rPr>
          <w:rFonts w:ascii="Times New Roman" w:hAnsi="Times New Roman" w:cs="Times New Roman"/>
          <w:sz w:val="28"/>
          <w:szCs w:val="28"/>
        </w:rPr>
      </w:pPr>
    </w:p>
    <w:p w:rsidR="00E11CAA" w:rsidRDefault="00E11CAA" w:rsidP="00E11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CAA" w:rsidRDefault="00E11CAA" w:rsidP="00E11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CAA" w:rsidRDefault="00E11CAA" w:rsidP="00E11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CAA" w:rsidRDefault="00E11CAA" w:rsidP="00E11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CAA" w:rsidRDefault="00E11CAA" w:rsidP="00E11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BE1" w:rsidRPr="001A1BE1" w:rsidRDefault="001A1BE1" w:rsidP="00121B33">
      <w:pPr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121B33" w:rsidRDefault="00121B33" w:rsidP="00121B33">
      <w:pPr>
        <w:rPr>
          <w:rFonts w:ascii="Times New Roman" w:eastAsia="MS Mincho" w:hAnsi="Times New Roman" w:cs="Times New Roman"/>
          <w:sz w:val="28"/>
          <w:szCs w:val="28"/>
        </w:rPr>
      </w:pPr>
    </w:p>
    <w:p w:rsidR="00121B33" w:rsidRDefault="00121B33" w:rsidP="00121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 О Д А Т О К</w:t>
      </w: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33" w:rsidRPr="00EF2255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B33" w:rsidRDefault="00121B33" w:rsidP="00121B3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 1</w:t>
      </w:r>
    </w:p>
    <w:p w:rsidR="00121B33" w:rsidRDefault="00121B33" w:rsidP="00121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Динаміка змін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МДА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ротовій рідині в дітей з ГЛЛ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у перший гострий період та період рецидиву, </w:t>
      </w:r>
      <w:r>
        <w:rPr>
          <w:rFonts w:ascii="Times New Roman" w:eastAsia="Times New Roman" w:hAnsi="Times New Roman" w:cs="Times New Roman"/>
          <w:sz w:val="28"/>
          <w:szCs w:val="28"/>
        </w:rPr>
        <w:t>нмоль/л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 ± m)</w:t>
      </w:r>
    </w:p>
    <w:tbl>
      <w:tblPr>
        <w:tblStyle w:val="3"/>
        <w:tblW w:w="9045" w:type="dxa"/>
        <w:tblLayout w:type="fixed"/>
        <w:tblLook w:val="04A0" w:firstRow="1" w:lastRow="0" w:firstColumn="1" w:lastColumn="0" w:noHBand="0" w:noVBand="1"/>
      </w:tblPr>
      <w:tblGrid>
        <w:gridCol w:w="1277"/>
        <w:gridCol w:w="1527"/>
        <w:gridCol w:w="1452"/>
        <w:gridCol w:w="1560"/>
        <w:gridCol w:w="1702"/>
        <w:gridCol w:w="1527"/>
      </w:tblGrid>
      <w:tr w:rsidR="00121B33" w:rsidTr="004043EB">
        <w:trPr>
          <w:cantSplit/>
          <w:trHeight w:val="11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Групи дітей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лікування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міс.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міс.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міс.</w:t>
            </w:r>
          </w:p>
        </w:tc>
      </w:tr>
      <w:tr w:rsidR="00121B33" w:rsidTr="004043EB">
        <w:trPr>
          <w:cantSplit/>
          <w:trHeight w:val="1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10,67±0,55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4,98±0,25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4,57±0,27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5,42±0,32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6,59±0,37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121B33" w:rsidTr="004043EB">
        <w:trPr>
          <w:cantSplit/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порівняння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10,62±0,54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5,46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±0,28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7,32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±0,37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8,93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±0,45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10,51±0,53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1B33" w:rsidRDefault="00121B33" w:rsidP="0012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121B33" w:rsidRDefault="00121B33" w:rsidP="00121B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B6" w:rsidRDefault="003543B6" w:rsidP="00121B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B33" w:rsidRDefault="00121B33" w:rsidP="00121B3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 2</w:t>
      </w:r>
    </w:p>
    <w:p w:rsidR="00121B33" w:rsidRDefault="00121B33" w:rsidP="00121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Динаміка змін </w:t>
      </w:r>
      <w:r w:rsidRPr="0096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МДА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ротовій рідині в дітей з ГЛЛ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у період ремісії, </w:t>
      </w:r>
      <w:r w:rsidRPr="00961D0B">
        <w:rPr>
          <w:rFonts w:ascii="Times New Roman" w:eastAsia="Times New Roman" w:hAnsi="Times New Roman" w:cs="Times New Roman"/>
          <w:sz w:val="28"/>
          <w:szCs w:val="28"/>
          <w:lang w:val="uk-UA"/>
        </w:rPr>
        <w:t>нмоль/л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 ± m)</w:t>
      </w:r>
    </w:p>
    <w:tbl>
      <w:tblPr>
        <w:tblStyle w:val="3"/>
        <w:tblW w:w="9045" w:type="dxa"/>
        <w:tblLayout w:type="fixed"/>
        <w:tblLook w:val="04A0" w:firstRow="1" w:lastRow="0" w:firstColumn="1" w:lastColumn="0" w:noHBand="0" w:noVBand="1"/>
      </w:tblPr>
      <w:tblGrid>
        <w:gridCol w:w="1277"/>
        <w:gridCol w:w="1527"/>
        <w:gridCol w:w="1452"/>
        <w:gridCol w:w="1560"/>
        <w:gridCol w:w="1702"/>
        <w:gridCol w:w="1527"/>
      </w:tblGrid>
      <w:tr w:rsidR="00121B33" w:rsidTr="004043EB">
        <w:trPr>
          <w:cantSplit/>
          <w:trHeight w:val="10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Групи дітей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лікування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міс.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міс.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міс.</w:t>
            </w:r>
          </w:p>
        </w:tc>
      </w:tr>
      <w:tr w:rsidR="00121B33" w:rsidTr="004043EB">
        <w:trPr>
          <w:cantSplit/>
          <w:trHeight w:val="1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9,98±0,52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&gt;0,05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4,31±0,22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E834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&gt;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4,04±0,26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5,12±0,29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6,03±0,31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121B33" w:rsidTr="004043EB">
        <w:trPr>
          <w:cantSplit/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порівняння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9,95±0,51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±0,26</w:t>
            </w:r>
          </w:p>
          <w:p w:rsidR="00121B33" w:rsidRDefault="00121B33" w:rsidP="004043E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6,71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±0,34</w:t>
            </w:r>
          </w:p>
          <w:p w:rsidR="00121B33" w:rsidRDefault="00121B33" w:rsidP="004043E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p&lt;0,05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8,86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±0,41</w:t>
            </w:r>
          </w:p>
          <w:p w:rsidR="00121B33" w:rsidRDefault="00121B33" w:rsidP="004043E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9,53±0,48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121B33" w:rsidRDefault="00121B33" w:rsidP="0035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121B33" w:rsidRDefault="00121B33" w:rsidP="00121B3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121B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 3</w:t>
      </w:r>
    </w:p>
    <w:p w:rsidR="00121B33" w:rsidRDefault="00121B33" w:rsidP="00121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активності каталази в дітей з ГЛЛ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у перший гострий період та в період рецидиву,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мкат/л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(М ± m)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1276"/>
        <w:gridCol w:w="1526"/>
        <w:gridCol w:w="1701"/>
        <w:gridCol w:w="1559"/>
        <w:gridCol w:w="1559"/>
        <w:gridCol w:w="1559"/>
      </w:tblGrid>
      <w:tr w:rsidR="00121B33" w:rsidTr="004043EB">
        <w:trPr>
          <w:cantSplit/>
          <w:trHeight w:val="11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 міс.</w:t>
            </w:r>
          </w:p>
        </w:tc>
      </w:tr>
      <w:tr w:rsidR="00121B33" w:rsidTr="004043EB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±0,006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0,27±0,015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0,29±0,015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0,26±0,013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0,23±0,012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21B33" w:rsidTr="004043EB">
        <w:trPr>
          <w:cantSplit/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0,12±0,006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±0,012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±0,010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±0,007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0,12±0,006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121B33" w:rsidRDefault="00121B33" w:rsidP="0012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121B33" w:rsidRPr="00121B33" w:rsidRDefault="00121B33" w:rsidP="00121B3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1B33" w:rsidRPr="00121B33" w:rsidRDefault="00121B33" w:rsidP="00121B3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1B33" w:rsidRDefault="00121B33" w:rsidP="00121B3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 4</w:t>
      </w:r>
    </w:p>
    <w:p w:rsidR="00121B33" w:rsidRDefault="00121B33" w:rsidP="00121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активності каталази в дітей з ГЛЛ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у період ремісії,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мкат/л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(М ± m)</w:t>
      </w:r>
    </w:p>
    <w:tbl>
      <w:tblPr>
        <w:tblStyle w:val="a4"/>
        <w:tblW w:w="9045" w:type="dxa"/>
        <w:tblLayout w:type="fixed"/>
        <w:tblLook w:val="04A0" w:firstRow="1" w:lastRow="0" w:firstColumn="1" w:lastColumn="0" w:noHBand="0" w:noVBand="1"/>
      </w:tblPr>
      <w:tblGrid>
        <w:gridCol w:w="1277"/>
        <w:gridCol w:w="1527"/>
        <w:gridCol w:w="1560"/>
        <w:gridCol w:w="1560"/>
        <w:gridCol w:w="1594"/>
        <w:gridCol w:w="1527"/>
      </w:tblGrid>
      <w:tr w:rsidR="00121B33" w:rsidTr="004043EB">
        <w:trPr>
          <w:cantSplit/>
          <w:trHeight w:val="10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міс.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міс.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 міс.</w:t>
            </w:r>
          </w:p>
        </w:tc>
      </w:tr>
      <w:tr w:rsidR="00121B33" w:rsidTr="004043EB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±0,008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0,31±0,018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0,33±0,017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0,29±0,016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0,27±0,015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21B33" w:rsidTr="004043EB">
        <w:trPr>
          <w:cantSplit/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0,17±0,009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±0,015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±0,013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±0,011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0,18±0,10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121B33" w:rsidRDefault="00121B33" w:rsidP="0012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121B33" w:rsidRPr="00121B33" w:rsidRDefault="00121B33" w:rsidP="00121B3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1B33" w:rsidRDefault="00121B33" w:rsidP="00121B3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 5</w:t>
      </w:r>
    </w:p>
    <w:p w:rsidR="00121B33" w:rsidRDefault="00121B33" w:rsidP="00121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вмісту лізоциму в ротовій рідині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 дітей з ГЛЛ у перший гострий період та в період рецидиву, М ± m</w:t>
      </w:r>
    </w:p>
    <w:tbl>
      <w:tblPr>
        <w:tblStyle w:val="a4"/>
        <w:tblW w:w="9720" w:type="dxa"/>
        <w:tblLayout w:type="fixed"/>
        <w:tblLook w:val="04A0" w:firstRow="1" w:lastRow="0" w:firstColumn="1" w:lastColumn="0" w:noHBand="0" w:noVBand="1"/>
      </w:tblPr>
      <w:tblGrid>
        <w:gridCol w:w="675"/>
        <w:gridCol w:w="1277"/>
        <w:gridCol w:w="1560"/>
        <w:gridCol w:w="1561"/>
        <w:gridCol w:w="1560"/>
        <w:gridCol w:w="1560"/>
        <w:gridCol w:w="1527"/>
      </w:tblGrid>
      <w:tr w:rsidR="00121B33" w:rsidTr="004043EB">
        <w:trPr>
          <w:cantSplit/>
          <w:trHeight w:val="1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міс.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 міс.</w:t>
            </w:r>
          </w:p>
        </w:tc>
      </w:tr>
      <w:tr w:rsidR="00121B33" w:rsidTr="004043EB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Лізоцим, од/л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9,81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±0,51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17,41±1,28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21,02±1,26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19,18±1,21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18,06±1,16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121B33" w:rsidTr="004043EB">
        <w:trPr>
          <w:cantSplit/>
          <w:trHeight w:val="14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9,79±0,54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±0,99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±0,87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±0,78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10,27±0,67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p&gt;0,05</w:t>
            </w:r>
          </w:p>
        </w:tc>
      </w:tr>
    </w:tbl>
    <w:p w:rsidR="00121B33" w:rsidRDefault="00121B33" w:rsidP="0012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із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121B33" w:rsidRDefault="00121B33" w:rsidP="00121B3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21B33" w:rsidRDefault="00121B33" w:rsidP="00121B3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 6</w:t>
      </w:r>
    </w:p>
    <w:p w:rsidR="00121B33" w:rsidRDefault="00121B33" w:rsidP="00121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вмісту лізоциму в ротовій рідині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 дітей з ГЛЛ у період ремісії, М ± m</w:t>
      </w:r>
    </w:p>
    <w:tbl>
      <w:tblPr>
        <w:tblStyle w:val="a4"/>
        <w:tblW w:w="9720" w:type="dxa"/>
        <w:tblLayout w:type="fixed"/>
        <w:tblLook w:val="04A0" w:firstRow="1" w:lastRow="0" w:firstColumn="1" w:lastColumn="0" w:noHBand="0" w:noVBand="1"/>
      </w:tblPr>
      <w:tblGrid>
        <w:gridCol w:w="675"/>
        <w:gridCol w:w="1277"/>
        <w:gridCol w:w="1560"/>
        <w:gridCol w:w="1561"/>
        <w:gridCol w:w="1560"/>
        <w:gridCol w:w="1560"/>
        <w:gridCol w:w="1527"/>
      </w:tblGrid>
      <w:tr w:rsidR="00121B33" w:rsidTr="004043EB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міс.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 міс.</w:t>
            </w:r>
          </w:p>
        </w:tc>
      </w:tr>
      <w:tr w:rsidR="00121B33" w:rsidTr="004043EB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Лізоцим, од/л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±0,75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21,62±1,39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26,95±1,35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25,28±1,32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24,31±1,27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121B33" w:rsidTr="004043EB">
        <w:trPr>
          <w:cantSplit/>
          <w:trHeight w:val="15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13,51±0,68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±1,12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±1,08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±1,02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±0,96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</w:tr>
    </w:tbl>
    <w:p w:rsidR="00121B33" w:rsidRDefault="00121B33" w:rsidP="0012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121B33" w:rsidRDefault="00121B33" w:rsidP="00121B3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 7</w:t>
      </w:r>
    </w:p>
    <w:p w:rsidR="00121B33" w:rsidRDefault="00121B33" w:rsidP="00121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активності уреази в дітей з ГЛЛ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у перший гострий період та в період рецидиву,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мкат/л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(М ± m)</w:t>
      </w:r>
    </w:p>
    <w:tbl>
      <w:tblPr>
        <w:tblStyle w:val="a4"/>
        <w:tblW w:w="9045" w:type="dxa"/>
        <w:tblLayout w:type="fixed"/>
        <w:tblLook w:val="04A0" w:firstRow="1" w:lastRow="0" w:firstColumn="1" w:lastColumn="0" w:noHBand="0" w:noVBand="1"/>
      </w:tblPr>
      <w:tblGrid>
        <w:gridCol w:w="1277"/>
        <w:gridCol w:w="1527"/>
        <w:gridCol w:w="1560"/>
        <w:gridCol w:w="1560"/>
        <w:gridCol w:w="1594"/>
        <w:gridCol w:w="1527"/>
      </w:tblGrid>
      <w:tr w:rsidR="00121B33" w:rsidTr="004043EB">
        <w:trPr>
          <w:cantSplit/>
          <w:trHeight w:val="11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міс.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міс.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 міс.</w:t>
            </w:r>
          </w:p>
        </w:tc>
      </w:tr>
      <w:tr w:rsidR="00121B33" w:rsidTr="004043EB">
        <w:trPr>
          <w:cantSplit/>
          <w:trHeight w:val="14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±1,51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18,39±0,92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16,68±0,93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17,22±0,95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19,95±1,05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21B33" w:rsidTr="004043EB">
        <w:trPr>
          <w:cantSplit/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29,68±1,49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±0,97</w:t>
            </w:r>
          </w:p>
          <w:p w:rsidR="00121B33" w:rsidRDefault="00121B33" w:rsidP="00404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±0,99</w:t>
            </w:r>
          </w:p>
          <w:p w:rsidR="00121B33" w:rsidRDefault="00121B33" w:rsidP="00404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±1,24</w:t>
            </w:r>
          </w:p>
          <w:p w:rsidR="00121B33" w:rsidRDefault="00121B33" w:rsidP="00404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26,92±1,35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121B33" w:rsidRDefault="00121B33" w:rsidP="00121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121B33" w:rsidRDefault="00121B33" w:rsidP="00121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33" w:rsidRDefault="00121B33" w:rsidP="00121B3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 8</w:t>
      </w:r>
    </w:p>
    <w:p w:rsidR="00121B33" w:rsidRDefault="00121B33" w:rsidP="00121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активності уреази в дітей з ГЛЛ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у період ремісії,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мкат/л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(М ± m)</w:t>
      </w:r>
    </w:p>
    <w:tbl>
      <w:tblPr>
        <w:tblStyle w:val="a4"/>
        <w:tblW w:w="9045" w:type="dxa"/>
        <w:tblLayout w:type="fixed"/>
        <w:tblLook w:val="04A0" w:firstRow="1" w:lastRow="0" w:firstColumn="1" w:lastColumn="0" w:noHBand="0" w:noVBand="1"/>
      </w:tblPr>
      <w:tblGrid>
        <w:gridCol w:w="1277"/>
        <w:gridCol w:w="1527"/>
        <w:gridCol w:w="1560"/>
        <w:gridCol w:w="1560"/>
        <w:gridCol w:w="1594"/>
        <w:gridCol w:w="1527"/>
      </w:tblGrid>
      <w:tr w:rsidR="00121B33" w:rsidTr="004043EB">
        <w:trPr>
          <w:cantSplit/>
          <w:trHeight w:val="9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міс.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міс.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 міс.</w:t>
            </w:r>
          </w:p>
        </w:tc>
      </w:tr>
      <w:tr w:rsidR="00121B33" w:rsidTr="004043EB">
        <w:trPr>
          <w:cantSplit/>
          <w:trHeight w:val="1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±1,53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16,05±0,76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14,41±0,73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17,08±0,94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18,69±0,98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21B33" w:rsidTr="004043EB">
        <w:trPr>
          <w:cantSplit/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30,41±1,52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±0,93</w:t>
            </w:r>
          </w:p>
          <w:p w:rsidR="00121B33" w:rsidRDefault="00121B33" w:rsidP="00404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±0,99</w:t>
            </w:r>
          </w:p>
          <w:p w:rsidR="00121B33" w:rsidRDefault="00121B33" w:rsidP="00404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±1,16</w:t>
            </w:r>
          </w:p>
          <w:p w:rsidR="00121B33" w:rsidRDefault="00121B33" w:rsidP="00404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26,31±1,38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121B33" w:rsidRDefault="00121B33" w:rsidP="00121B33">
      <w:pPr>
        <w:jc w:val="both"/>
        <w:rPr>
          <w:rFonts w:ascii="Calibri" w:eastAsia="Times New Roman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121B33" w:rsidRDefault="00121B33" w:rsidP="00121B3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 9</w:t>
      </w:r>
    </w:p>
    <w:p w:rsidR="00121B33" w:rsidRDefault="00121B33" w:rsidP="00121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ступеня дисбіозу в дітей з ГЛЛ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 перший гострий період та в період рецидиву, М ± m</w:t>
      </w:r>
    </w:p>
    <w:tbl>
      <w:tblPr>
        <w:tblStyle w:val="11"/>
        <w:tblW w:w="9045" w:type="dxa"/>
        <w:tblLayout w:type="fixed"/>
        <w:tblLook w:val="04A0" w:firstRow="1" w:lastRow="0" w:firstColumn="1" w:lastColumn="0" w:noHBand="0" w:noVBand="1"/>
      </w:tblPr>
      <w:tblGrid>
        <w:gridCol w:w="1277"/>
        <w:gridCol w:w="1527"/>
        <w:gridCol w:w="1560"/>
        <w:gridCol w:w="1560"/>
        <w:gridCol w:w="1594"/>
        <w:gridCol w:w="1527"/>
      </w:tblGrid>
      <w:tr w:rsidR="00121B33" w:rsidTr="004043EB">
        <w:trPr>
          <w:cantSplit/>
          <w:trHeight w:val="11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міс.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міс.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міс.</w:t>
            </w:r>
          </w:p>
        </w:tc>
      </w:tr>
      <w:tr w:rsidR="00121B33" w:rsidTr="004043EB">
        <w:trPr>
          <w:cantSplit/>
          <w:trHeight w:val="1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±0,33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tabs>
                <w:tab w:val="center" w:pos="67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3,41±0,18</w:t>
            </w:r>
          </w:p>
          <w:p w:rsidR="00121B33" w:rsidRDefault="00121B33" w:rsidP="004043EB">
            <w:pPr>
              <w:tabs>
                <w:tab w:val="center" w:pos="6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tabs>
                <w:tab w:val="center" w:pos="67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3,19±0,17</w:t>
            </w:r>
          </w:p>
          <w:p w:rsidR="00121B33" w:rsidRDefault="00121B33" w:rsidP="004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3,36±0,18</w:t>
            </w:r>
          </w:p>
          <w:p w:rsidR="00121B33" w:rsidRDefault="00121B33" w:rsidP="004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3,92±0,21</w:t>
            </w:r>
          </w:p>
          <w:p w:rsidR="00121B33" w:rsidRDefault="00121B33" w:rsidP="004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21B33" w:rsidTr="004043EB">
        <w:trPr>
          <w:cantSplit/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6,23±0,32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±0,16</w:t>
            </w:r>
          </w:p>
          <w:p w:rsidR="00121B33" w:rsidRDefault="00121B33" w:rsidP="004043EB">
            <w:pPr>
              <w:tabs>
                <w:tab w:val="center" w:pos="67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2,78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±0,16</w:t>
            </w:r>
          </w:p>
          <w:p w:rsidR="00121B33" w:rsidRDefault="00121B33" w:rsidP="004043EB">
            <w:pPr>
              <w:tabs>
                <w:tab w:val="center" w:pos="67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±0,23</w:t>
            </w:r>
          </w:p>
          <w:p w:rsidR="00121B33" w:rsidRDefault="00121B33" w:rsidP="004043EB">
            <w:pPr>
              <w:tabs>
                <w:tab w:val="center" w:pos="67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5,03±0,27</w:t>
            </w:r>
          </w:p>
          <w:p w:rsidR="00121B33" w:rsidRDefault="00121B33" w:rsidP="004043EB">
            <w:pPr>
              <w:tabs>
                <w:tab w:val="center" w:pos="67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</w:tr>
    </w:tbl>
    <w:p w:rsidR="00121B33" w:rsidRDefault="00121B33" w:rsidP="00121B33">
      <w:pPr>
        <w:jc w:val="both"/>
        <w:rPr>
          <w:rFonts w:ascii="Calibri" w:eastAsia="Times New Roman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121B33" w:rsidRDefault="00121B33" w:rsidP="00121B33">
      <w:pPr>
        <w:rPr>
          <w:rFonts w:ascii="Calibri" w:eastAsia="Times New Roman" w:hAnsi="Calibri" w:cs="Times New Roman"/>
        </w:rPr>
      </w:pPr>
    </w:p>
    <w:p w:rsidR="00121B33" w:rsidRDefault="00121B33" w:rsidP="00121B3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10</w:t>
      </w:r>
    </w:p>
    <w:p w:rsidR="00121B33" w:rsidRDefault="00121B33" w:rsidP="00121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ступеня дисбіозу в дітей з ГЛЛ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 період ремісії, М ± m</w:t>
      </w:r>
    </w:p>
    <w:tbl>
      <w:tblPr>
        <w:tblStyle w:val="11"/>
        <w:tblW w:w="9045" w:type="dxa"/>
        <w:tblLayout w:type="fixed"/>
        <w:tblLook w:val="04A0" w:firstRow="1" w:lastRow="0" w:firstColumn="1" w:lastColumn="0" w:noHBand="0" w:noVBand="1"/>
      </w:tblPr>
      <w:tblGrid>
        <w:gridCol w:w="1277"/>
        <w:gridCol w:w="1527"/>
        <w:gridCol w:w="1560"/>
        <w:gridCol w:w="1560"/>
        <w:gridCol w:w="1594"/>
        <w:gridCol w:w="1527"/>
      </w:tblGrid>
      <w:tr w:rsidR="00121B33" w:rsidTr="004043EB">
        <w:trPr>
          <w:cantSplit/>
          <w:trHeight w:val="11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міс.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міс.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міс.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міс.</w:t>
            </w:r>
          </w:p>
        </w:tc>
      </w:tr>
      <w:tr w:rsidR="00121B33" w:rsidTr="004043EB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±0,34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E702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2,15±0,12</w:t>
            </w:r>
          </w:p>
          <w:p w:rsidR="00121B33" w:rsidRDefault="00121B33" w:rsidP="004043EB">
            <w:pPr>
              <w:tabs>
                <w:tab w:val="center" w:pos="67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tabs>
                <w:tab w:val="center" w:pos="67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E702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1,93±0,14</w:t>
            </w:r>
          </w:p>
          <w:p w:rsidR="00121B33" w:rsidRDefault="00121B33" w:rsidP="004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2,12±0,16</w:t>
            </w:r>
          </w:p>
          <w:p w:rsidR="00121B33" w:rsidRDefault="00121B33" w:rsidP="004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2,16±0,19</w:t>
            </w:r>
          </w:p>
          <w:p w:rsidR="00121B33" w:rsidRDefault="00121B33" w:rsidP="004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21B33" w:rsidTr="004043EB">
        <w:trPr>
          <w:cantSplit/>
          <w:trHeight w:val="1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B33" w:rsidRDefault="00121B33" w:rsidP="004043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6,69±0,34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±0,14</w:t>
            </w:r>
          </w:p>
          <w:p w:rsidR="00121B33" w:rsidRDefault="00121B33" w:rsidP="004043EB">
            <w:pPr>
              <w:tabs>
                <w:tab w:val="center" w:pos="67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±0,18</w:t>
            </w:r>
          </w:p>
          <w:p w:rsidR="00121B33" w:rsidRDefault="00121B33" w:rsidP="004043EB">
            <w:pPr>
              <w:tabs>
                <w:tab w:val="center" w:pos="67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±0,21</w:t>
            </w:r>
          </w:p>
          <w:p w:rsidR="00121B33" w:rsidRDefault="00121B33" w:rsidP="004043EB">
            <w:pPr>
              <w:tabs>
                <w:tab w:val="center" w:pos="67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4,72±0,24</w:t>
            </w:r>
          </w:p>
          <w:p w:rsidR="00121B33" w:rsidRDefault="00121B33" w:rsidP="004043EB">
            <w:pPr>
              <w:tabs>
                <w:tab w:val="center" w:pos="67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p&lt;0,05</w:t>
            </w:r>
          </w:p>
        </w:tc>
      </w:tr>
    </w:tbl>
    <w:p w:rsidR="00121B33" w:rsidRPr="00FE0565" w:rsidRDefault="00121B33" w:rsidP="00121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121B33" w:rsidRDefault="00121B33" w:rsidP="00121B3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11</w:t>
      </w:r>
    </w:p>
    <w:p w:rsidR="00121B33" w:rsidRPr="00CE7026" w:rsidRDefault="00121B33" w:rsidP="0012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швидкості слиновиділення в дітей з ГЛЛ</w:t>
      </w:r>
      <w:r w:rsidRPr="00CE70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мл/мин  </w:t>
      </w:r>
    </w:p>
    <w:p w:rsidR="00121B33" w:rsidRDefault="00121B33" w:rsidP="0012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±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m)</w:t>
      </w:r>
    </w:p>
    <w:p w:rsidR="00121B33" w:rsidRDefault="00121B33" w:rsidP="0012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8895" w:type="dxa"/>
        <w:tblLayout w:type="fixed"/>
        <w:tblLook w:val="04A0" w:firstRow="1" w:lastRow="0" w:firstColumn="1" w:lastColumn="0" w:noHBand="0" w:noVBand="1"/>
      </w:tblPr>
      <w:tblGrid>
        <w:gridCol w:w="1832"/>
        <w:gridCol w:w="1700"/>
        <w:gridCol w:w="1842"/>
        <w:gridCol w:w="1560"/>
        <w:gridCol w:w="1961"/>
      </w:tblGrid>
      <w:tr w:rsidR="00121B33" w:rsidTr="004043EB">
        <w:trPr>
          <w:trHeight w:val="328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гострий період та період рецидиву ГЛЛ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період ремісії ГЛЛ</w:t>
            </w:r>
          </w:p>
        </w:tc>
      </w:tr>
      <w:tr w:rsidR="00121B33" w:rsidTr="004043EB">
        <w:trPr>
          <w:trHeight w:val="48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 12 міс.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лікування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 12 міс.</w:t>
            </w:r>
          </w:p>
        </w:tc>
      </w:tr>
      <w:tr w:rsidR="00121B33" w:rsidTr="004043EB">
        <w:trPr>
          <w:trHeight w:val="58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0,28±0,014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±0,018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p&lt;0,05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0,34±0,017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±0,023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p&lt;0,05</w:t>
            </w:r>
          </w:p>
        </w:tc>
      </w:tr>
      <w:tr w:rsidR="00121B33" w:rsidTr="004043EB">
        <w:trPr>
          <w:trHeight w:val="81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0,27±0,013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±0,025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p&lt;0,05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&lt;0,05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0,32±0,017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±0,029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p&lt;0,05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&lt;0,05</w:t>
            </w:r>
          </w:p>
        </w:tc>
      </w:tr>
    </w:tbl>
    <w:p w:rsidR="00121B33" w:rsidRDefault="00121B33" w:rsidP="00121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4B47C4" w:rsidRPr="004B47C4" w:rsidRDefault="004B47C4" w:rsidP="00121B3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1B33" w:rsidRDefault="00121B33" w:rsidP="00121B3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12</w:t>
      </w:r>
    </w:p>
    <w:p w:rsidR="00121B33" w:rsidRPr="00CE7026" w:rsidRDefault="00121B33" w:rsidP="00121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Динаміка змін в</w:t>
      </w:r>
      <w:r w:rsidRPr="00CE7026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язкості ротової рідини в дітей з ГЛЛ</w:t>
      </w:r>
      <w:r w:rsidRPr="00CE70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CE70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±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</w:p>
    <w:tbl>
      <w:tblPr>
        <w:tblStyle w:val="2"/>
        <w:tblW w:w="8895" w:type="dxa"/>
        <w:tblLayout w:type="fixed"/>
        <w:tblLook w:val="04A0" w:firstRow="1" w:lastRow="0" w:firstColumn="1" w:lastColumn="0" w:noHBand="0" w:noVBand="1"/>
      </w:tblPr>
      <w:tblGrid>
        <w:gridCol w:w="1832"/>
        <w:gridCol w:w="1700"/>
        <w:gridCol w:w="1842"/>
        <w:gridCol w:w="1536"/>
        <w:gridCol w:w="1985"/>
      </w:tblGrid>
      <w:tr w:rsidR="00121B33" w:rsidTr="004043EB">
        <w:trPr>
          <w:trHeight w:val="69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Pr="00CE7026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Групи дітей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перший гострий період та період рецидиву ГЛЛ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період ремісії ГЛЛ</w:t>
            </w:r>
          </w:p>
        </w:tc>
      </w:tr>
      <w:tr w:rsidR="00121B33" w:rsidTr="004043EB">
        <w:trPr>
          <w:trHeight w:val="453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Pr="00CE7026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через 12 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Pr="00CE7026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через 12 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с.</w:t>
            </w:r>
          </w:p>
        </w:tc>
      </w:tr>
      <w:tr w:rsidR="00121B33" w:rsidTr="004043EB">
        <w:trPr>
          <w:trHeight w:val="58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Pr="00CE7026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2,98±0,15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2,73±0,14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2,75±0,14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2,39±0,12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0,05</w:t>
            </w:r>
          </w:p>
        </w:tc>
      </w:tr>
      <w:tr w:rsidR="00121B33" w:rsidTr="004043EB">
        <w:trPr>
          <w:trHeight w:val="81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основна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2,97±0,15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&gt;0,05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2,46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±0,13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2,74±0,14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&gt;0,05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2,18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±0,11</w:t>
            </w:r>
          </w:p>
          <w:p w:rsidR="00121B33" w:rsidRDefault="00121B33" w:rsidP="004043E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p&lt;0,05</w:t>
            </w:r>
          </w:p>
          <w:p w:rsidR="00121B33" w:rsidRDefault="00121B33" w:rsidP="004043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0,05</w:t>
            </w:r>
          </w:p>
        </w:tc>
      </w:tr>
    </w:tbl>
    <w:p w:rsidR="00121B33" w:rsidRDefault="00121B33" w:rsidP="00121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вихідними даними</w:t>
      </w:r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достовірності відмінностей порівняно з групою порівняння</w:t>
      </w:r>
    </w:p>
    <w:p w:rsidR="00121B33" w:rsidRPr="00821AB5" w:rsidRDefault="00121B33" w:rsidP="00E2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1B33" w:rsidRPr="00821AB5" w:rsidSect="00240930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D8" w:rsidRDefault="00B05FD8" w:rsidP="00E62FFC">
      <w:pPr>
        <w:spacing w:after="0" w:line="240" w:lineRule="auto"/>
      </w:pPr>
      <w:r>
        <w:separator/>
      </w:r>
    </w:p>
  </w:endnote>
  <w:endnote w:type="continuationSeparator" w:id="0">
    <w:p w:rsidR="00B05FD8" w:rsidRDefault="00B05FD8" w:rsidP="00E6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C0" w:rsidRPr="00684D83" w:rsidRDefault="001752C0" w:rsidP="00684D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D8" w:rsidRDefault="00B05FD8" w:rsidP="00E62FFC">
      <w:pPr>
        <w:spacing w:after="0" w:line="240" w:lineRule="auto"/>
      </w:pPr>
      <w:r>
        <w:separator/>
      </w:r>
    </w:p>
  </w:footnote>
  <w:footnote w:type="continuationSeparator" w:id="0">
    <w:p w:rsidR="00B05FD8" w:rsidRDefault="00B05FD8" w:rsidP="00E6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329027"/>
      <w:docPartObj>
        <w:docPartGallery w:val="Page Numbers (Top of Page)"/>
        <w:docPartUnique/>
      </w:docPartObj>
    </w:sdtPr>
    <w:sdtEndPr/>
    <w:sdtContent>
      <w:p w:rsidR="001752C0" w:rsidRDefault="00B05FD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D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2C0" w:rsidRDefault="001752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871CD5"/>
    <w:multiLevelType w:val="multilevel"/>
    <w:tmpl w:val="9FE49E1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9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">
    <w:nsid w:val="0DE369CF"/>
    <w:multiLevelType w:val="multilevel"/>
    <w:tmpl w:val="BEB0D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1F6E6550"/>
    <w:multiLevelType w:val="multilevel"/>
    <w:tmpl w:val="8884C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6145F1"/>
    <w:multiLevelType w:val="hybridMultilevel"/>
    <w:tmpl w:val="6C0C9E5E"/>
    <w:lvl w:ilvl="0" w:tplc="1B4ECEE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F133761"/>
    <w:multiLevelType w:val="hybridMultilevel"/>
    <w:tmpl w:val="E5C436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391"/>
    <w:multiLevelType w:val="hybridMultilevel"/>
    <w:tmpl w:val="8E9A1BEC"/>
    <w:lvl w:ilvl="0" w:tplc="CDD4F8AC">
      <w:start w:val="1"/>
      <w:numFmt w:val="decimal"/>
      <w:lvlText w:val="%1."/>
      <w:lvlJc w:val="left"/>
      <w:pPr>
        <w:ind w:left="8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DAB5649"/>
    <w:multiLevelType w:val="hybridMultilevel"/>
    <w:tmpl w:val="BF6C26BA"/>
    <w:lvl w:ilvl="0" w:tplc="1988B83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C627DA"/>
    <w:multiLevelType w:val="hybridMultilevel"/>
    <w:tmpl w:val="5C185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40"/>
        </w:tabs>
        <w:ind w:left="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60"/>
        </w:tabs>
        <w:ind w:left="1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00"/>
        </w:tabs>
        <w:ind w:left="2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20"/>
        </w:tabs>
        <w:ind w:left="3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0"/>
        </w:tabs>
        <w:ind w:left="4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0"/>
        </w:tabs>
        <w:ind w:left="5680" w:hanging="180"/>
      </w:pPr>
    </w:lvl>
  </w:abstractNum>
  <w:abstractNum w:abstractNumId="10">
    <w:nsid w:val="63A61755"/>
    <w:multiLevelType w:val="multilevel"/>
    <w:tmpl w:val="BEB0D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1">
    <w:nsid w:val="66FA4B34"/>
    <w:multiLevelType w:val="hybridMultilevel"/>
    <w:tmpl w:val="456A4EA8"/>
    <w:lvl w:ilvl="0" w:tplc="0B24A1B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293"/>
    <w:rsid w:val="000002BD"/>
    <w:rsid w:val="00000C8B"/>
    <w:rsid w:val="00001327"/>
    <w:rsid w:val="000039B6"/>
    <w:rsid w:val="00003A21"/>
    <w:rsid w:val="00003D7B"/>
    <w:rsid w:val="00003F90"/>
    <w:rsid w:val="0000420B"/>
    <w:rsid w:val="00004698"/>
    <w:rsid w:val="00005329"/>
    <w:rsid w:val="00005BF7"/>
    <w:rsid w:val="00006048"/>
    <w:rsid w:val="00007FE9"/>
    <w:rsid w:val="00010E44"/>
    <w:rsid w:val="00012028"/>
    <w:rsid w:val="0001224D"/>
    <w:rsid w:val="0001280F"/>
    <w:rsid w:val="000143CF"/>
    <w:rsid w:val="00017EA5"/>
    <w:rsid w:val="000205EB"/>
    <w:rsid w:val="00021191"/>
    <w:rsid w:val="000237E3"/>
    <w:rsid w:val="0002417C"/>
    <w:rsid w:val="000241E1"/>
    <w:rsid w:val="000249EA"/>
    <w:rsid w:val="000253BE"/>
    <w:rsid w:val="000267EB"/>
    <w:rsid w:val="0002727D"/>
    <w:rsid w:val="00035351"/>
    <w:rsid w:val="00035467"/>
    <w:rsid w:val="00040C84"/>
    <w:rsid w:val="000412E6"/>
    <w:rsid w:val="00041B42"/>
    <w:rsid w:val="000446EA"/>
    <w:rsid w:val="00055A4F"/>
    <w:rsid w:val="00056592"/>
    <w:rsid w:val="00056A6F"/>
    <w:rsid w:val="00056C90"/>
    <w:rsid w:val="000573E4"/>
    <w:rsid w:val="00061A69"/>
    <w:rsid w:val="00061E27"/>
    <w:rsid w:val="00062F4B"/>
    <w:rsid w:val="00064A67"/>
    <w:rsid w:val="00064DAC"/>
    <w:rsid w:val="00065107"/>
    <w:rsid w:val="0006573F"/>
    <w:rsid w:val="00065EB9"/>
    <w:rsid w:val="0007751E"/>
    <w:rsid w:val="00077C82"/>
    <w:rsid w:val="0008274B"/>
    <w:rsid w:val="00082C60"/>
    <w:rsid w:val="000854D3"/>
    <w:rsid w:val="0008570A"/>
    <w:rsid w:val="000902A0"/>
    <w:rsid w:val="00091864"/>
    <w:rsid w:val="000936AE"/>
    <w:rsid w:val="000945F5"/>
    <w:rsid w:val="00096446"/>
    <w:rsid w:val="000977B0"/>
    <w:rsid w:val="00097E6E"/>
    <w:rsid w:val="000A1A89"/>
    <w:rsid w:val="000A3D9B"/>
    <w:rsid w:val="000A4429"/>
    <w:rsid w:val="000A6823"/>
    <w:rsid w:val="000A6D3F"/>
    <w:rsid w:val="000B00F8"/>
    <w:rsid w:val="000B1947"/>
    <w:rsid w:val="000B2820"/>
    <w:rsid w:val="000B4B0C"/>
    <w:rsid w:val="000B6361"/>
    <w:rsid w:val="000B674F"/>
    <w:rsid w:val="000B6828"/>
    <w:rsid w:val="000B7132"/>
    <w:rsid w:val="000C03BF"/>
    <w:rsid w:val="000C0FF4"/>
    <w:rsid w:val="000C1AF5"/>
    <w:rsid w:val="000C23E2"/>
    <w:rsid w:val="000C4A66"/>
    <w:rsid w:val="000C6A35"/>
    <w:rsid w:val="000C7382"/>
    <w:rsid w:val="000D0852"/>
    <w:rsid w:val="000D1B86"/>
    <w:rsid w:val="000D1D93"/>
    <w:rsid w:val="000D2957"/>
    <w:rsid w:val="000D3E7D"/>
    <w:rsid w:val="000E02F0"/>
    <w:rsid w:val="000E3CE9"/>
    <w:rsid w:val="000E3F03"/>
    <w:rsid w:val="000E4E1E"/>
    <w:rsid w:val="000E51CF"/>
    <w:rsid w:val="000F03D9"/>
    <w:rsid w:val="000F0425"/>
    <w:rsid w:val="000F18B8"/>
    <w:rsid w:val="000F1A35"/>
    <w:rsid w:val="000F236B"/>
    <w:rsid w:val="000F5550"/>
    <w:rsid w:val="000F57B6"/>
    <w:rsid w:val="000F5986"/>
    <w:rsid w:val="000F64B8"/>
    <w:rsid w:val="0010148A"/>
    <w:rsid w:val="001047B5"/>
    <w:rsid w:val="00111496"/>
    <w:rsid w:val="00113CFD"/>
    <w:rsid w:val="00115A74"/>
    <w:rsid w:val="001171FE"/>
    <w:rsid w:val="00120C1E"/>
    <w:rsid w:val="001216D4"/>
    <w:rsid w:val="00121B33"/>
    <w:rsid w:val="00122B60"/>
    <w:rsid w:val="00123009"/>
    <w:rsid w:val="001236C3"/>
    <w:rsid w:val="00125851"/>
    <w:rsid w:val="001344D0"/>
    <w:rsid w:val="0013479B"/>
    <w:rsid w:val="0013556B"/>
    <w:rsid w:val="00136C62"/>
    <w:rsid w:val="00137D8A"/>
    <w:rsid w:val="00140FD8"/>
    <w:rsid w:val="00143470"/>
    <w:rsid w:val="00146BE2"/>
    <w:rsid w:val="001505BC"/>
    <w:rsid w:val="0015406C"/>
    <w:rsid w:val="00154649"/>
    <w:rsid w:val="00154E76"/>
    <w:rsid w:val="0016344D"/>
    <w:rsid w:val="00164465"/>
    <w:rsid w:val="00170EEB"/>
    <w:rsid w:val="00172EC8"/>
    <w:rsid w:val="001734FA"/>
    <w:rsid w:val="001740B3"/>
    <w:rsid w:val="001752C0"/>
    <w:rsid w:val="00176114"/>
    <w:rsid w:val="00177228"/>
    <w:rsid w:val="001815D0"/>
    <w:rsid w:val="00181F9A"/>
    <w:rsid w:val="001824C7"/>
    <w:rsid w:val="00183813"/>
    <w:rsid w:val="00183C64"/>
    <w:rsid w:val="0018557D"/>
    <w:rsid w:val="00185DC1"/>
    <w:rsid w:val="0019086E"/>
    <w:rsid w:val="00191A12"/>
    <w:rsid w:val="00194AA8"/>
    <w:rsid w:val="00195CDC"/>
    <w:rsid w:val="001A0BE3"/>
    <w:rsid w:val="001A1BE1"/>
    <w:rsid w:val="001A3232"/>
    <w:rsid w:val="001A3CEB"/>
    <w:rsid w:val="001B5F52"/>
    <w:rsid w:val="001B76E5"/>
    <w:rsid w:val="001C21BD"/>
    <w:rsid w:val="001C3DFA"/>
    <w:rsid w:val="001C50FC"/>
    <w:rsid w:val="001C60B5"/>
    <w:rsid w:val="001D04EE"/>
    <w:rsid w:val="001D27D2"/>
    <w:rsid w:val="001D3B18"/>
    <w:rsid w:val="001D4AA5"/>
    <w:rsid w:val="001D5949"/>
    <w:rsid w:val="001E3909"/>
    <w:rsid w:val="001E40B7"/>
    <w:rsid w:val="001E6736"/>
    <w:rsid w:val="001E7F34"/>
    <w:rsid w:val="001E7FD3"/>
    <w:rsid w:val="001F0106"/>
    <w:rsid w:val="001F4B0E"/>
    <w:rsid w:val="002007AC"/>
    <w:rsid w:val="00200E64"/>
    <w:rsid w:val="00205A8B"/>
    <w:rsid w:val="00207DFC"/>
    <w:rsid w:val="00210F76"/>
    <w:rsid w:val="00211D7F"/>
    <w:rsid w:val="0021535F"/>
    <w:rsid w:val="00224425"/>
    <w:rsid w:val="002252E7"/>
    <w:rsid w:val="00225BE1"/>
    <w:rsid w:val="00226BEB"/>
    <w:rsid w:val="0022715A"/>
    <w:rsid w:val="00240333"/>
    <w:rsid w:val="002405FD"/>
    <w:rsid w:val="00240930"/>
    <w:rsid w:val="0024111B"/>
    <w:rsid w:val="0024203F"/>
    <w:rsid w:val="00242E54"/>
    <w:rsid w:val="00243D19"/>
    <w:rsid w:val="00243DC3"/>
    <w:rsid w:val="002444D2"/>
    <w:rsid w:val="002454FC"/>
    <w:rsid w:val="0024762B"/>
    <w:rsid w:val="0025158E"/>
    <w:rsid w:val="0025245D"/>
    <w:rsid w:val="00252F94"/>
    <w:rsid w:val="00253493"/>
    <w:rsid w:val="00255A6B"/>
    <w:rsid w:val="00256AFD"/>
    <w:rsid w:val="00261D3A"/>
    <w:rsid w:val="00262951"/>
    <w:rsid w:val="00262E93"/>
    <w:rsid w:val="0026385E"/>
    <w:rsid w:val="002639DA"/>
    <w:rsid w:val="0026509C"/>
    <w:rsid w:val="0026789B"/>
    <w:rsid w:val="002740F6"/>
    <w:rsid w:val="002746B2"/>
    <w:rsid w:val="0027619E"/>
    <w:rsid w:val="00277D63"/>
    <w:rsid w:val="002813F9"/>
    <w:rsid w:val="0028232A"/>
    <w:rsid w:val="0028257C"/>
    <w:rsid w:val="00282F66"/>
    <w:rsid w:val="002832D2"/>
    <w:rsid w:val="00283AF8"/>
    <w:rsid w:val="00283E97"/>
    <w:rsid w:val="00284E3C"/>
    <w:rsid w:val="002906B7"/>
    <w:rsid w:val="00292243"/>
    <w:rsid w:val="00294497"/>
    <w:rsid w:val="00295F87"/>
    <w:rsid w:val="00296AC2"/>
    <w:rsid w:val="00297BFF"/>
    <w:rsid w:val="002A5574"/>
    <w:rsid w:val="002A55AD"/>
    <w:rsid w:val="002A6D9A"/>
    <w:rsid w:val="002A7016"/>
    <w:rsid w:val="002A7890"/>
    <w:rsid w:val="002B0A3D"/>
    <w:rsid w:val="002B43FB"/>
    <w:rsid w:val="002B49CE"/>
    <w:rsid w:val="002B5FB8"/>
    <w:rsid w:val="002B7266"/>
    <w:rsid w:val="002C020D"/>
    <w:rsid w:val="002C0C5F"/>
    <w:rsid w:val="002C2B03"/>
    <w:rsid w:val="002C2F7F"/>
    <w:rsid w:val="002C4C3B"/>
    <w:rsid w:val="002C4FCA"/>
    <w:rsid w:val="002D2A55"/>
    <w:rsid w:val="002D2D8F"/>
    <w:rsid w:val="002D2E8D"/>
    <w:rsid w:val="002D322D"/>
    <w:rsid w:val="002D3295"/>
    <w:rsid w:val="002D6048"/>
    <w:rsid w:val="002D71AC"/>
    <w:rsid w:val="002D7284"/>
    <w:rsid w:val="002D769B"/>
    <w:rsid w:val="002D785C"/>
    <w:rsid w:val="002E1AB7"/>
    <w:rsid w:val="002E7536"/>
    <w:rsid w:val="002F1C2C"/>
    <w:rsid w:val="002F2628"/>
    <w:rsid w:val="002F3A18"/>
    <w:rsid w:val="002F3F1C"/>
    <w:rsid w:val="002F5B50"/>
    <w:rsid w:val="002F7761"/>
    <w:rsid w:val="002F7772"/>
    <w:rsid w:val="002F7EA8"/>
    <w:rsid w:val="0030021B"/>
    <w:rsid w:val="00304FBD"/>
    <w:rsid w:val="00307CB4"/>
    <w:rsid w:val="00311E11"/>
    <w:rsid w:val="00313496"/>
    <w:rsid w:val="003219D2"/>
    <w:rsid w:val="00323293"/>
    <w:rsid w:val="003250EC"/>
    <w:rsid w:val="00325E02"/>
    <w:rsid w:val="003312E5"/>
    <w:rsid w:val="00333CDE"/>
    <w:rsid w:val="0033420E"/>
    <w:rsid w:val="00335C92"/>
    <w:rsid w:val="003418B2"/>
    <w:rsid w:val="00342340"/>
    <w:rsid w:val="00342F5A"/>
    <w:rsid w:val="00343F36"/>
    <w:rsid w:val="00346181"/>
    <w:rsid w:val="003461DB"/>
    <w:rsid w:val="003473F6"/>
    <w:rsid w:val="00347D25"/>
    <w:rsid w:val="00350267"/>
    <w:rsid w:val="00353C4F"/>
    <w:rsid w:val="003543B6"/>
    <w:rsid w:val="003572A0"/>
    <w:rsid w:val="00360FA2"/>
    <w:rsid w:val="003613ED"/>
    <w:rsid w:val="003616EE"/>
    <w:rsid w:val="003626E4"/>
    <w:rsid w:val="003634F2"/>
    <w:rsid w:val="00363FCE"/>
    <w:rsid w:val="00365F2B"/>
    <w:rsid w:val="003672AD"/>
    <w:rsid w:val="00367E39"/>
    <w:rsid w:val="003705F5"/>
    <w:rsid w:val="00376067"/>
    <w:rsid w:val="0038049B"/>
    <w:rsid w:val="003804A7"/>
    <w:rsid w:val="003805CB"/>
    <w:rsid w:val="00380CE7"/>
    <w:rsid w:val="00380D6A"/>
    <w:rsid w:val="003817F8"/>
    <w:rsid w:val="00382380"/>
    <w:rsid w:val="00385C4E"/>
    <w:rsid w:val="0038645E"/>
    <w:rsid w:val="003864C4"/>
    <w:rsid w:val="00387662"/>
    <w:rsid w:val="00391F87"/>
    <w:rsid w:val="00392335"/>
    <w:rsid w:val="003924E4"/>
    <w:rsid w:val="00392D7B"/>
    <w:rsid w:val="00394B73"/>
    <w:rsid w:val="003A126E"/>
    <w:rsid w:val="003A2A1B"/>
    <w:rsid w:val="003A6CB4"/>
    <w:rsid w:val="003A6D05"/>
    <w:rsid w:val="003A7623"/>
    <w:rsid w:val="003B1240"/>
    <w:rsid w:val="003B13DF"/>
    <w:rsid w:val="003B179A"/>
    <w:rsid w:val="003B2FE8"/>
    <w:rsid w:val="003B33C5"/>
    <w:rsid w:val="003C0BEA"/>
    <w:rsid w:val="003C119F"/>
    <w:rsid w:val="003C25E9"/>
    <w:rsid w:val="003C5DDA"/>
    <w:rsid w:val="003D0979"/>
    <w:rsid w:val="003D13E5"/>
    <w:rsid w:val="003D1462"/>
    <w:rsid w:val="003D7C3D"/>
    <w:rsid w:val="003E1712"/>
    <w:rsid w:val="003E1F47"/>
    <w:rsid w:val="003E2F75"/>
    <w:rsid w:val="003E5E91"/>
    <w:rsid w:val="003E7989"/>
    <w:rsid w:val="003F1F13"/>
    <w:rsid w:val="003F2CEC"/>
    <w:rsid w:val="003F432B"/>
    <w:rsid w:val="003F46A2"/>
    <w:rsid w:val="003F66B6"/>
    <w:rsid w:val="003F6788"/>
    <w:rsid w:val="003F6DE4"/>
    <w:rsid w:val="003F7029"/>
    <w:rsid w:val="003F73D1"/>
    <w:rsid w:val="00400BFE"/>
    <w:rsid w:val="004010F7"/>
    <w:rsid w:val="00401112"/>
    <w:rsid w:val="00402DC5"/>
    <w:rsid w:val="004039F6"/>
    <w:rsid w:val="004043EB"/>
    <w:rsid w:val="00405186"/>
    <w:rsid w:val="00407A1E"/>
    <w:rsid w:val="00410DEB"/>
    <w:rsid w:val="00411965"/>
    <w:rsid w:val="00412E25"/>
    <w:rsid w:val="004221F0"/>
    <w:rsid w:val="004226EF"/>
    <w:rsid w:val="00423121"/>
    <w:rsid w:val="00423714"/>
    <w:rsid w:val="00423BCB"/>
    <w:rsid w:val="00423EB1"/>
    <w:rsid w:val="004269D6"/>
    <w:rsid w:val="00432766"/>
    <w:rsid w:val="00433C45"/>
    <w:rsid w:val="00434330"/>
    <w:rsid w:val="00435068"/>
    <w:rsid w:val="00437E9F"/>
    <w:rsid w:val="0044055D"/>
    <w:rsid w:val="00440F31"/>
    <w:rsid w:val="004410AD"/>
    <w:rsid w:val="00443438"/>
    <w:rsid w:val="00446464"/>
    <w:rsid w:val="00452F87"/>
    <w:rsid w:val="00454835"/>
    <w:rsid w:val="00454B66"/>
    <w:rsid w:val="0045545C"/>
    <w:rsid w:val="00461BA0"/>
    <w:rsid w:val="00461CB9"/>
    <w:rsid w:val="00461E92"/>
    <w:rsid w:val="0046652D"/>
    <w:rsid w:val="004673C9"/>
    <w:rsid w:val="004679AA"/>
    <w:rsid w:val="00467B74"/>
    <w:rsid w:val="0047229B"/>
    <w:rsid w:val="00472CF6"/>
    <w:rsid w:val="00473934"/>
    <w:rsid w:val="0047467F"/>
    <w:rsid w:val="0048231E"/>
    <w:rsid w:val="00484A5F"/>
    <w:rsid w:val="00484D7B"/>
    <w:rsid w:val="00485996"/>
    <w:rsid w:val="00487182"/>
    <w:rsid w:val="00487741"/>
    <w:rsid w:val="004878FC"/>
    <w:rsid w:val="00490262"/>
    <w:rsid w:val="004918E8"/>
    <w:rsid w:val="00494EE8"/>
    <w:rsid w:val="00496877"/>
    <w:rsid w:val="00496D7C"/>
    <w:rsid w:val="004A0E42"/>
    <w:rsid w:val="004A120E"/>
    <w:rsid w:val="004A1723"/>
    <w:rsid w:val="004A2207"/>
    <w:rsid w:val="004A34C1"/>
    <w:rsid w:val="004A4E0A"/>
    <w:rsid w:val="004A51DE"/>
    <w:rsid w:val="004A5D58"/>
    <w:rsid w:val="004A6577"/>
    <w:rsid w:val="004A719F"/>
    <w:rsid w:val="004A78DE"/>
    <w:rsid w:val="004B0027"/>
    <w:rsid w:val="004B0452"/>
    <w:rsid w:val="004B1BC7"/>
    <w:rsid w:val="004B47C4"/>
    <w:rsid w:val="004C0FC8"/>
    <w:rsid w:val="004C2299"/>
    <w:rsid w:val="004C3C01"/>
    <w:rsid w:val="004C5739"/>
    <w:rsid w:val="004C66F0"/>
    <w:rsid w:val="004D1595"/>
    <w:rsid w:val="004D24B6"/>
    <w:rsid w:val="004D2FA2"/>
    <w:rsid w:val="004D5889"/>
    <w:rsid w:val="004D6D2E"/>
    <w:rsid w:val="004E049C"/>
    <w:rsid w:val="004E1A85"/>
    <w:rsid w:val="004E3243"/>
    <w:rsid w:val="004E502C"/>
    <w:rsid w:val="004E52D4"/>
    <w:rsid w:val="004E6ED8"/>
    <w:rsid w:val="004F0591"/>
    <w:rsid w:val="004F0BDF"/>
    <w:rsid w:val="004F0CBC"/>
    <w:rsid w:val="004F2C93"/>
    <w:rsid w:val="004F2F5A"/>
    <w:rsid w:val="004F301D"/>
    <w:rsid w:val="004F3B95"/>
    <w:rsid w:val="004F4C7B"/>
    <w:rsid w:val="004F5C9F"/>
    <w:rsid w:val="004F63EE"/>
    <w:rsid w:val="004F762B"/>
    <w:rsid w:val="0050208C"/>
    <w:rsid w:val="00504211"/>
    <w:rsid w:val="00504B03"/>
    <w:rsid w:val="005074E4"/>
    <w:rsid w:val="00512A78"/>
    <w:rsid w:val="00513E8D"/>
    <w:rsid w:val="00514A42"/>
    <w:rsid w:val="00514F9A"/>
    <w:rsid w:val="005165CA"/>
    <w:rsid w:val="00516B67"/>
    <w:rsid w:val="005205F7"/>
    <w:rsid w:val="00521A22"/>
    <w:rsid w:val="0052442B"/>
    <w:rsid w:val="00527DA6"/>
    <w:rsid w:val="005310F3"/>
    <w:rsid w:val="00532FCC"/>
    <w:rsid w:val="00533459"/>
    <w:rsid w:val="00534C59"/>
    <w:rsid w:val="00534E11"/>
    <w:rsid w:val="00534EE2"/>
    <w:rsid w:val="00536902"/>
    <w:rsid w:val="005407CD"/>
    <w:rsid w:val="00542B36"/>
    <w:rsid w:val="00542C40"/>
    <w:rsid w:val="00542D7B"/>
    <w:rsid w:val="0054682E"/>
    <w:rsid w:val="005475B6"/>
    <w:rsid w:val="00547E1F"/>
    <w:rsid w:val="00551CEB"/>
    <w:rsid w:val="00553729"/>
    <w:rsid w:val="00553F76"/>
    <w:rsid w:val="00555FA2"/>
    <w:rsid w:val="0055706A"/>
    <w:rsid w:val="005604E1"/>
    <w:rsid w:val="00562169"/>
    <w:rsid w:val="00562477"/>
    <w:rsid w:val="005635BE"/>
    <w:rsid w:val="00563628"/>
    <w:rsid w:val="005645D4"/>
    <w:rsid w:val="00565C0D"/>
    <w:rsid w:val="00570BFC"/>
    <w:rsid w:val="005714D9"/>
    <w:rsid w:val="00571E69"/>
    <w:rsid w:val="0057200E"/>
    <w:rsid w:val="00573CB3"/>
    <w:rsid w:val="00574D37"/>
    <w:rsid w:val="0057559D"/>
    <w:rsid w:val="0057690F"/>
    <w:rsid w:val="00577B24"/>
    <w:rsid w:val="00580F03"/>
    <w:rsid w:val="00582D8B"/>
    <w:rsid w:val="00583E5C"/>
    <w:rsid w:val="0058456E"/>
    <w:rsid w:val="00587019"/>
    <w:rsid w:val="00591B8A"/>
    <w:rsid w:val="00592D68"/>
    <w:rsid w:val="005A37F7"/>
    <w:rsid w:val="005A4393"/>
    <w:rsid w:val="005A7F4C"/>
    <w:rsid w:val="005B109B"/>
    <w:rsid w:val="005B149A"/>
    <w:rsid w:val="005B704C"/>
    <w:rsid w:val="005C1CBC"/>
    <w:rsid w:val="005C4966"/>
    <w:rsid w:val="005C5FC7"/>
    <w:rsid w:val="005C7C7E"/>
    <w:rsid w:val="005D397E"/>
    <w:rsid w:val="005D559A"/>
    <w:rsid w:val="005E1AD0"/>
    <w:rsid w:val="005E2FD8"/>
    <w:rsid w:val="005E78DE"/>
    <w:rsid w:val="005F0E06"/>
    <w:rsid w:val="005F45ED"/>
    <w:rsid w:val="005F70A0"/>
    <w:rsid w:val="005F7D1F"/>
    <w:rsid w:val="00600586"/>
    <w:rsid w:val="0060079E"/>
    <w:rsid w:val="00600DDC"/>
    <w:rsid w:val="00601092"/>
    <w:rsid w:val="006071F5"/>
    <w:rsid w:val="00612683"/>
    <w:rsid w:val="00612FB5"/>
    <w:rsid w:val="00617DB8"/>
    <w:rsid w:val="00632805"/>
    <w:rsid w:val="00632FD9"/>
    <w:rsid w:val="006353FF"/>
    <w:rsid w:val="006360DE"/>
    <w:rsid w:val="006426E6"/>
    <w:rsid w:val="00642B57"/>
    <w:rsid w:val="00645029"/>
    <w:rsid w:val="006460BB"/>
    <w:rsid w:val="00653B04"/>
    <w:rsid w:val="0065401E"/>
    <w:rsid w:val="0065507C"/>
    <w:rsid w:val="00655A05"/>
    <w:rsid w:val="00661421"/>
    <w:rsid w:val="00661DC1"/>
    <w:rsid w:val="00662C48"/>
    <w:rsid w:val="00663293"/>
    <w:rsid w:val="0066626B"/>
    <w:rsid w:val="00666442"/>
    <w:rsid w:val="00673DF6"/>
    <w:rsid w:val="00674BCA"/>
    <w:rsid w:val="0067622B"/>
    <w:rsid w:val="00676F5A"/>
    <w:rsid w:val="00677268"/>
    <w:rsid w:val="00680A41"/>
    <w:rsid w:val="00680F59"/>
    <w:rsid w:val="00680F89"/>
    <w:rsid w:val="0068123A"/>
    <w:rsid w:val="00684D83"/>
    <w:rsid w:val="006861D4"/>
    <w:rsid w:val="006902B7"/>
    <w:rsid w:val="00690464"/>
    <w:rsid w:val="0069280F"/>
    <w:rsid w:val="00692FE0"/>
    <w:rsid w:val="00693A21"/>
    <w:rsid w:val="00693E50"/>
    <w:rsid w:val="00696893"/>
    <w:rsid w:val="00696E37"/>
    <w:rsid w:val="006A07BE"/>
    <w:rsid w:val="006A0EC6"/>
    <w:rsid w:val="006A1876"/>
    <w:rsid w:val="006A74F6"/>
    <w:rsid w:val="006A7ED9"/>
    <w:rsid w:val="006B1863"/>
    <w:rsid w:val="006B1913"/>
    <w:rsid w:val="006B4190"/>
    <w:rsid w:val="006B7FAC"/>
    <w:rsid w:val="006C4CE4"/>
    <w:rsid w:val="006D1FE3"/>
    <w:rsid w:val="006D505F"/>
    <w:rsid w:val="006E07DF"/>
    <w:rsid w:val="006E1CBB"/>
    <w:rsid w:val="006E3EB9"/>
    <w:rsid w:val="006E464E"/>
    <w:rsid w:val="006E4C74"/>
    <w:rsid w:val="006E6020"/>
    <w:rsid w:val="006F186A"/>
    <w:rsid w:val="006F47C6"/>
    <w:rsid w:val="006F53B5"/>
    <w:rsid w:val="006F78F6"/>
    <w:rsid w:val="006F7E0A"/>
    <w:rsid w:val="007005CB"/>
    <w:rsid w:val="00704C38"/>
    <w:rsid w:val="00706622"/>
    <w:rsid w:val="00713349"/>
    <w:rsid w:val="0071448E"/>
    <w:rsid w:val="0071673C"/>
    <w:rsid w:val="00721937"/>
    <w:rsid w:val="00721B37"/>
    <w:rsid w:val="00725AFA"/>
    <w:rsid w:val="007263F8"/>
    <w:rsid w:val="0072782E"/>
    <w:rsid w:val="00727BD3"/>
    <w:rsid w:val="00731277"/>
    <w:rsid w:val="0073244E"/>
    <w:rsid w:val="00733D8C"/>
    <w:rsid w:val="0073622F"/>
    <w:rsid w:val="007365EB"/>
    <w:rsid w:val="00737D50"/>
    <w:rsid w:val="007410C0"/>
    <w:rsid w:val="00741AEF"/>
    <w:rsid w:val="00741F70"/>
    <w:rsid w:val="007437D2"/>
    <w:rsid w:val="00744D48"/>
    <w:rsid w:val="0074568D"/>
    <w:rsid w:val="00745F5E"/>
    <w:rsid w:val="00747F3A"/>
    <w:rsid w:val="0075306C"/>
    <w:rsid w:val="007536AF"/>
    <w:rsid w:val="0075740D"/>
    <w:rsid w:val="0076197F"/>
    <w:rsid w:val="00763E70"/>
    <w:rsid w:val="0077206E"/>
    <w:rsid w:val="0077280B"/>
    <w:rsid w:val="00772F6F"/>
    <w:rsid w:val="00773228"/>
    <w:rsid w:val="00773318"/>
    <w:rsid w:val="00773768"/>
    <w:rsid w:val="00775DD1"/>
    <w:rsid w:val="007760C9"/>
    <w:rsid w:val="00777374"/>
    <w:rsid w:val="007861B8"/>
    <w:rsid w:val="007916A3"/>
    <w:rsid w:val="00793286"/>
    <w:rsid w:val="007937B6"/>
    <w:rsid w:val="007968ED"/>
    <w:rsid w:val="00797747"/>
    <w:rsid w:val="00797B32"/>
    <w:rsid w:val="00797F73"/>
    <w:rsid w:val="007A1E90"/>
    <w:rsid w:val="007A397D"/>
    <w:rsid w:val="007A3AC8"/>
    <w:rsid w:val="007A3ADD"/>
    <w:rsid w:val="007A5871"/>
    <w:rsid w:val="007A723A"/>
    <w:rsid w:val="007A7A0B"/>
    <w:rsid w:val="007A7F55"/>
    <w:rsid w:val="007B032A"/>
    <w:rsid w:val="007B04DE"/>
    <w:rsid w:val="007B0669"/>
    <w:rsid w:val="007B1A4E"/>
    <w:rsid w:val="007B261C"/>
    <w:rsid w:val="007B62AD"/>
    <w:rsid w:val="007B72A9"/>
    <w:rsid w:val="007B74F9"/>
    <w:rsid w:val="007B7B10"/>
    <w:rsid w:val="007C0058"/>
    <w:rsid w:val="007C2C06"/>
    <w:rsid w:val="007C54BC"/>
    <w:rsid w:val="007C5759"/>
    <w:rsid w:val="007C61CA"/>
    <w:rsid w:val="007C701E"/>
    <w:rsid w:val="007C7CCB"/>
    <w:rsid w:val="007D254A"/>
    <w:rsid w:val="007D3337"/>
    <w:rsid w:val="007D517D"/>
    <w:rsid w:val="007D722C"/>
    <w:rsid w:val="007E0D21"/>
    <w:rsid w:val="007E3908"/>
    <w:rsid w:val="007E7A71"/>
    <w:rsid w:val="007F09AA"/>
    <w:rsid w:val="007F4A97"/>
    <w:rsid w:val="007F4F75"/>
    <w:rsid w:val="008001A5"/>
    <w:rsid w:val="0080101F"/>
    <w:rsid w:val="00803578"/>
    <w:rsid w:val="00803E95"/>
    <w:rsid w:val="00811C57"/>
    <w:rsid w:val="008134F3"/>
    <w:rsid w:val="008147A7"/>
    <w:rsid w:val="00816818"/>
    <w:rsid w:val="008213D8"/>
    <w:rsid w:val="00821AB5"/>
    <w:rsid w:val="00822FEC"/>
    <w:rsid w:val="00823289"/>
    <w:rsid w:val="008249D5"/>
    <w:rsid w:val="00825AC5"/>
    <w:rsid w:val="00827333"/>
    <w:rsid w:val="008303DC"/>
    <w:rsid w:val="00830C8C"/>
    <w:rsid w:val="008341BC"/>
    <w:rsid w:val="0083531E"/>
    <w:rsid w:val="008372C3"/>
    <w:rsid w:val="00841558"/>
    <w:rsid w:val="00850A22"/>
    <w:rsid w:val="0085534A"/>
    <w:rsid w:val="00857E15"/>
    <w:rsid w:val="0086086C"/>
    <w:rsid w:val="008611C8"/>
    <w:rsid w:val="00865412"/>
    <w:rsid w:val="00865B8D"/>
    <w:rsid w:val="00865ED5"/>
    <w:rsid w:val="0086600E"/>
    <w:rsid w:val="00866B6E"/>
    <w:rsid w:val="00866FFD"/>
    <w:rsid w:val="00867195"/>
    <w:rsid w:val="008714CE"/>
    <w:rsid w:val="00876A13"/>
    <w:rsid w:val="00877253"/>
    <w:rsid w:val="00880FB1"/>
    <w:rsid w:val="00882ACD"/>
    <w:rsid w:val="00884979"/>
    <w:rsid w:val="0088615D"/>
    <w:rsid w:val="00891FE1"/>
    <w:rsid w:val="0089207A"/>
    <w:rsid w:val="00894454"/>
    <w:rsid w:val="0089675C"/>
    <w:rsid w:val="008A075E"/>
    <w:rsid w:val="008A0A31"/>
    <w:rsid w:val="008A1957"/>
    <w:rsid w:val="008A1963"/>
    <w:rsid w:val="008A54AE"/>
    <w:rsid w:val="008B0B92"/>
    <w:rsid w:val="008B0D57"/>
    <w:rsid w:val="008B3F77"/>
    <w:rsid w:val="008B55E3"/>
    <w:rsid w:val="008C174D"/>
    <w:rsid w:val="008C318B"/>
    <w:rsid w:val="008C376C"/>
    <w:rsid w:val="008C403C"/>
    <w:rsid w:val="008C4DC3"/>
    <w:rsid w:val="008C5AB7"/>
    <w:rsid w:val="008C6D44"/>
    <w:rsid w:val="008C6F60"/>
    <w:rsid w:val="008D0110"/>
    <w:rsid w:val="008D366D"/>
    <w:rsid w:val="008E35EB"/>
    <w:rsid w:val="008E4449"/>
    <w:rsid w:val="008E7C17"/>
    <w:rsid w:val="008F1A1D"/>
    <w:rsid w:val="008F2C7D"/>
    <w:rsid w:val="008F3122"/>
    <w:rsid w:val="008F4161"/>
    <w:rsid w:val="008F440B"/>
    <w:rsid w:val="008F46FE"/>
    <w:rsid w:val="008F4A6F"/>
    <w:rsid w:val="008F5A86"/>
    <w:rsid w:val="009027B2"/>
    <w:rsid w:val="00902866"/>
    <w:rsid w:val="00902B47"/>
    <w:rsid w:val="0090555B"/>
    <w:rsid w:val="00907262"/>
    <w:rsid w:val="00907C90"/>
    <w:rsid w:val="0091031F"/>
    <w:rsid w:val="0091093E"/>
    <w:rsid w:val="009120B3"/>
    <w:rsid w:val="00922C49"/>
    <w:rsid w:val="00923674"/>
    <w:rsid w:val="0093144A"/>
    <w:rsid w:val="0093573D"/>
    <w:rsid w:val="00937224"/>
    <w:rsid w:val="00937E5A"/>
    <w:rsid w:val="009422E6"/>
    <w:rsid w:val="00943D39"/>
    <w:rsid w:val="00961D0B"/>
    <w:rsid w:val="00961F55"/>
    <w:rsid w:val="009631BD"/>
    <w:rsid w:val="00966737"/>
    <w:rsid w:val="00966C81"/>
    <w:rsid w:val="009703C4"/>
    <w:rsid w:val="00970AB7"/>
    <w:rsid w:val="0097124A"/>
    <w:rsid w:val="0097257C"/>
    <w:rsid w:val="00972852"/>
    <w:rsid w:val="00981AC3"/>
    <w:rsid w:val="00982EBC"/>
    <w:rsid w:val="00983BB6"/>
    <w:rsid w:val="009843C0"/>
    <w:rsid w:val="0098507F"/>
    <w:rsid w:val="00986D69"/>
    <w:rsid w:val="00994481"/>
    <w:rsid w:val="009979DF"/>
    <w:rsid w:val="009A17F6"/>
    <w:rsid w:val="009A409E"/>
    <w:rsid w:val="009A711C"/>
    <w:rsid w:val="009A7FCA"/>
    <w:rsid w:val="009B1C10"/>
    <w:rsid w:val="009B228D"/>
    <w:rsid w:val="009B3642"/>
    <w:rsid w:val="009C0BC2"/>
    <w:rsid w:val="009C2F24"/>
    <w:rsid w:val="009C34AB"/>
    <w:rsid w:val="009C7E65"/>
    <w:rsid w:val="009D2387"/>
    <w:rsid w:val="009D7C56"/>
    <w:rsid w:val="009E186C"/>
    <w:rsid w:val="009E5672"/>
    <w:rsid w:val="009E6111"/>
    <w:rsid w:val="009E7ACD"/>
    <w:rsid w:val="009F16CA"/>
    <w:rsid w:val="009F1FFC"/>
    <w:rsid w:val="009F32F4"/>
    <w:rsid w:val="009F4D7F"/>
    <w:rsid w:val="009F6234"/>
    <w:rsid w:val="009F7D19"/>
    <w:rsid w:val="00A03506"/>
    <w:rsid w:val="00A0379D"/>
    <w:rsid w:val="00A0380C"/>
    <w:rsid w:val="00A05D1A"/>
    <w:rsid w:val="00A112EF"/>
    <w:rsid w:val="00A11842"/>
    <w:rsid w:val="00A128EB"/>
    <w:rsid w:val="00A16DEE"/>
    <w:rsid w:val="00A20889"/>
    <w:rsid w:val="00A208CB"/>
    <w:rsid w:val="00A2352B"/>
    <w:rsid w:val="00A2410E"/>
    <w:rsid w:val="00A256A9"/>
    <w:rsid w:val="00A310F6"/>
    <w:rsid w:val="00A3122A"/>
    <w:rsid w:val="00A31EEC"/>
    <w:rsid w:val="00A33B35"/>
    <w:rsid w:val="00A358A5"/>
    <w:rsid w:val="00A40056"/>
    <w:rsid w:val="00A40D64"/>
    <w:rsid w:val="00A45EF0"/>
    <w:rsid w:val="00A46BC4"/>
    <w:rsid w:val="00A46CFD"/>
    <w:rsid w:val="00A501AF"/>
    <w:rsid w:val="00A5045E"/>
    <w:rsid w:val="00A516EA"/>
    <w:rsid w:val="00A51E11"/>
    <w:rsid w:val="00A54997"/>
    <w:rsid w:val="00A54C09"/>
    <w:rsid w:val="00A54DE7"/>
    <w:rsid w:val="00A55CBF"/>
    <w:rsid w:val="00A5675D"/>
    <w:rsid w:val="00A57E63"/>
    <w:rsid w:val="00A62882"/>
    <w:rsid w:val="00A6350C"/>
    <w:rsid w:val="00A637CB"/>
    <w:rsid w:val="00A64BDC"/>
    <w:rsid w:val="00A674E4"/>
    <w:rsid w:val="00A82FDC"/>
    <w:rsid w:val="00A84B54"/>
    <w:rsid w:val="00A93521"/>
    <w:rsid w:val="00A965BA"/>
    <w:rsid w:val="00A9729C"/>
    <w:rsid w:val="00AA0A7F"/>
    <w:rsid w:val="00AA119A"/>
    <w:rsid w:val="00AA16BC"/>
    <w:rsid w:val="00AA2476"/>
    <w:rsid w:val="00AA2CF3"/>
    <w:rsid w:val="00AA3500"/>
    <w:rsid w:val="00AA398C"/>
    <w:rsid w:val="00AB067D"/>
    <w:rsid w:val="00AB0715"/>
    <w:rsid w:val="00AB0A7F"/>
    <w:rsid w:val="00AB0D8F"/>
    <w:rsid w:val="00AB30EB"/>
    <w:rsid w:val="00AB6BBC"/>
    <w:rsid w:val="00AC1AC3"/>
    <w:rsid w:val="00AC3A78"/>
    <w:rsid w:val="00AC5C42"/>
    <w:rsid w:val="00AC67BD"/>
    <w:rsid w:val="00AC6D8A"/>
    <w:rsid w:val="00AC6E3B"/>
    <w:rsid w:val="00AD0776"/>
    <w:rsid w:val="00AD4BBE"/>
    <w:rsid w:val="00AD6805"/>
    <w:rsid w:val="00AD6A1E"/>
    <w:rsid w:val="00AE47CF"/>
    <w:rsid w:val="00AE55D9"/>
    <w:rsid w:val="00AE6169"/>
    <w:rsid w:val="00AE7E85"/>
    <w:rsid w:val="00AF0630"/>
    <w:rsid w:val="00AF0AAC"/>
    <w:rsid w:val="00AF2365"/>
    <w:rsid w:val="00AF3164"/>
    <w:rsid w:val="00AF5F79"/>
    <w:rsid w:val="00AF69B8"/>
    <w:rsid w:val="00AF7051"/>
    <w:rsid w:val="00B011B5"/>
    <w:rsid w:val="00B0526B"/>
    <w:rsid w:val="00B05C2E"/>
    <w:rsid w:val="00B05FD8"/>
    <w:rsid w:val="00B11EB1"/>
    <w:rsid w:val="00B124A7"/>
    <w:rsid w:val="00B127E0"/>
    <w:rsid w:val="00B14CC3"/>
    <w:rsid w:val="00B1553D"/>
    <w:rsid w:val="00B16140"/>
    <w:rsid w:val="00B16901"/>
    <w:rsid w:val="00B16CDF"/>
    <w:rsid w:val="00B20A32"/>
    <w:rsid w:val="00B21DE2"/>
    <w:rsid w:val="00B25D8D"/>
    <w:rsid w:val="00B3038F"/>
    <w:rsid w:val="00B3087E"/>
    <w:rsid w:val="00B31A0C"/>
    <w:rsid w:val="00B337C9"/>
    <w:rsid w:val="00B34A49"/>
    <w:rsid w:val="00B411E6"/>
    <w:rsid w:val="00B4139B"/>
    <w:rsid w:val="00B445B1"/>
    <w:rsid w:val="00B475BC"/>
    <w:rsid w:val="00B55080"/>
    <w:rsid w:val="00B56C1F"/>
    <w:rsid w:val="00B6053B"/>
    <w:rsid w:val="00B655F6"/>
    <w:rsid w:val="00B678CA"/>
    <w:rsid w:val="00B70A2F"/>
    <w:rsid w:val="00B7168B"/>
    <w:rsid w:val="00B743C1"/>
    <w:rsid w:val="00B77B73"/>
    <w:rsid w:val="00B77E2C"/>
    <w:rsid w:val="00B8045D"/>
    <w:rsid w:val="00B80F41"/>
    <w:rsid w:val="00B81974"/>
    <w:rsid w:val="00B82FA9"/>
    <w:rsid w:val="00B8605F"/>
    <w:rsid w:val="00B86D37"/>
    <w:rsid w:val="00B91F86"/>
    <w:rsid w:val="00B920B4"/>
    <w:rsid w:val="00B9577F"/>
    <w:rsid w:val="00B95D0D"/>
    <w:rsid w:val="00B95EA6"/>
    <w:rsid w:val="00BA0AF0"/>
    <w:rsid w:val="00BA157D"/>
    <w:rsid w:val="00BB07F8"/>
    <w:rsid w:val="00BB6165"/>
    <w:rsid w:val="00BC1A84"/>
    <w:rsid w:val="00BC2470"/>
    <w:rsid w:val="00BC3E00"/>
    <w:rsid w:val="00BC3EBE"/>
    <w:rsid w:val="00BC3F5A"/>
    <w:rsid w:val="00BC4B3E"/>
    <w:rsid w:val="00BC62A1"/>
    <w:rsid w:val="00BD2D25"/>
    <w:rsid w:val="00BD43DC"/>
    <w:rsid w:val="00BE3154"/>
    <w:rsid w:val="00BF1F6F"/>
    <w:rsid w:val="00BF499D"/>
    <w:rsid w:val="00BF601B"/>
    <w:rsid w:val="00C00774"/>
    <w:rsid w:val="00C03D0D"/>
    <w:rsid w:val="00C06492"/>
    <w:rsid w:val="00C076BD"/>
    <w:rsid w:val="00C1511C"/>
    <w:rsid w:val="00C162AF"/>
    <w:rsid w:val="00C203EC"/>
    <w:rsid w:val="00C20A27"/>
    <w:rsid w:val="00C218C3"/>
    <w:rsid w:val="00C21BAB"/>
    <w:rsid w:val="00C22E49"/>
    <w:rsid w:val="00C2430D"/>
    <w:rsid w:val="00C32A0C"/>
    <w:rsid w:val="00C35629"/>
    <w:rsid w:val="00C35A14"/>
    <w:rsid w:val="00C42D5F"/>
    <w:rsid w:val="00C44ACA"/>
    <w:rsid w:val="00C4591A"/>
    <w:rsid w:val="00C46AB7"/>
    <w:rsid w:val="00C4737E"/>
    <w:rsid w:val="00C519DB"/>
    <w:rsid w:val="00C53BBB"/>
    <w:rsid w:val="00C54AB6"/>
    <w:rsid w:val="00C55258"/>
    <w:rsid w:val="00C55EF7"/>
    <w:rsid w:val="00C57E49"/>
    <w:rsid w:val="00C602B4"/>
    <w:rsid w:val="00C61E95"/>
    <w:rsid w:val="00C62C1C"/>
    <w:rsid w:val="00C64449"/>
    <w:rsid w:val="00C656BD"/>
    <w:rsid w:val="00C65B97"/>
    <w:rsid w:val="00C66ACB"/>
    <w:rsid w:val="00C6759E"/>
    <w:rsid w:val="00C675A4"/>
    <w:rsid w:val="00C67BB7"/>
    <w:rsid w:val="00C70E68"/>
    <w:rsid w:val="00C7126F"/>
    <w:rsid w:val="00C72134"/>
    <w:rsid w:val="00C73B9E"/>
    <w:rsid w:val="00C762FE"/>
    <w:rsid w:val="00C7665A"/>
    <w:rsid w:val="00C76DDC"/>
    <w:rsid w:val="00C80366"/>
    <w:rsid w:val="00C81AE8"/>
    <w:rsid w:val="00C81D8E"/>
    <w:rsid w:val="00C83322"/>
    <w:rsid w:val="00C85C3E"/>
    <w:rsid w:val="00C86F7D"/>
    <w:rsid w:val="00C91100"/>
    <w:rsid w:val="00C93E02"/>
    <w:rsid w:val="00C9630E"/>
    <w:rsid w:val="00C9680B"/>
    <w:rsid w:val="00CA03DC"/>
    <w:rsid w:val="00CA1DC0"/>
    <w:rsid w:val="00CA2E68"/>
    <w:rsid w:val="00CA3144"/>
    <w:rsid w:val="00CA61BB"/>
    <w:rsid w:val="00CB0363"/>
    <w:rsid w:val="00CB1A18"/>
    <w:rsid w:val="00CB2198"/>
    <w:rsid w:val="00CB7605"/>
    <w:rsid w:val="00CB7E41"/>
    <w:rsid w:val="00CC3B3C"/>
    <w:rsid w:val="00CC596E"/>
    <w:rsid w:val="00CC67B7"/>
    <w:rsid w:val="00CC74DA"/>
    <w:rsid w:val="00CD0EFB"/>
    <w:rsid w:val="00CD1F62"/>
    <w:rsid w:val="00CD6444"/>
    <w:rsid w:val="00CD70C8"/>
    <w:rsid w:val="00CE006A"/>
    <w:rsid w:val="00CE091C"/>
    <w:rsid w:val="00CE155C"/>
    <w:rsid w:val="00CE15C0"/>
    <w:rsid w:val="00CE1787"/>
    <w:rsid w:val="00CE34DE"/>
    <w:rsid w:val="00CE509B"/>
    <w:rsid w:val="00CE5A1A"/>
    <w:rsid w:val="00CE7026"/>
    <w:rsid w:val="00CE75B0"/>
    <w:rsid w:val="00CE7E20"/>
    <w:rsid w:val="00CF21CE"/>
    <w:rsid w:val="00CF2C93"/>
    <w:rsid w:val="00CF383C"/>
    <w:rsid w:val="00D06A11"/>
    <w:rsid w:val="00D0707A"/>
    <w:rsid w:val="00D074BF"/>
    <w:rsid w:val="00D126B5"/>
    <w:rsid w:val="00D156FF"/>
    <w:rsid w:val="00D16C39"/>
    <w:rsid w:val="00D20C35"/>
    <w:rsid w:val="00D21854"/>
    <w:rsid w:val="00D21A05"/>
    <w:rsid w:val="00D24502"/>
    <w:rsid w:val="00D27BEC"/>
    <w:rsid w:val="00D304DC"/>
    <w:rsid w:val="00D30686"/>
    <w:rsid w:val="00D309AB"/>
    <w:rsid w:val="00D32201"/>
    <w:rsid w:val="00D352BD"/>
    <w:rsid w:val="00D41831"/>
    <w:rsid w:val="00D47DB3"/>
    <w:rsid w:val="00D56C58"/>
    <w:rsid w:val="00D61675"/>
    <w:rsid w:val="00D6334E"/>
    <w:rsid w:val="00D64736"/>
    <w:rsid w:val="00D6487F"/>
    <w:rsid w:val="00D652F0"/>
    <w:rsid w:val="00D654B4"/>
    <w:rsid w:val="00D67360"/>
    <w:rsid w:val="00D6770B"/>
    <w:rsid w:val="00D67B70"/>
    <w:rsid w:val="00D715D4"/>
    <w:rsid w:val="00D726C2"/>
    <w:rsid w:val="00D72B38"/>
    <w:rsid w:val="00D72D20"/>
    <w:rsid w:val="00D7439D"/>
    <w:rsid w:val="00D75270"/>
    <w:rsid w:val="00D756D8"/>
    <w:rsid w:val="00D7597D"/>
    <w:rsid w:val="00D812FA"/>
    <w:rsid w:val="00D81E62"/>
    <w:rsid w:val="00D83E87"/>
    <w:rsid w:val="00D86919"/>
    <w:rsid w:val="00D92490"/>
    <w:rsid w:val="00D93904"/>
    <w:rsid w:val="00D941FD"/>
    <w:rsid w:val="00D94C1F"/>
    <w:rsid w:val="00D95688"/>
    <w:rsid w:val="00D95E79"/>
    <w:rsid w:val="00D96387"/>
    <w:rsid w:val="00DA26CB"/>
    <w:rsid w:val="00DA34B2"/>
    <w:rsid w:val="00DA4669"/>
    <w:rsid w:val="00DA5B9B"/>
    <w:rsid w:val="00DA74C3"/>
    <w:rsid w:val="00DB00DB"/>
    <w:rsid w:val="00DB5EDA"/>
    <w:rsid w:val="00DB7699"/>
    <w:rsid w:val="00DB7A08"/>
    <w:rsid w:val="00DB7E1E"/>
    <w:rsid w:val="00DC1770"/>
    <w:rsid w:val="00DC3B4A"/>
    <w:rsid w:val="00DC4CC3"/>
    <w:rsid w:val="00DC7A0C"/>
    <w:rsid w:val="00DC7BD9"/>
    <w:rsid w:val="00DD6F53"/>
    <w:rsid w:val="00DE0B7B"/>
    <w:rsid w:val="00DE0F91"/>
    <w:rsid w:val="00DE51C8"/>
    <w:rsid w:val="00DE581B"/>
    <w:rsid w:val="00DE5A30"/>
    <w:rsid w:val="00DE602F"/>
    <w:rsid w:val="00DE79B1"/>
    <w:rsid w:val="00DE7C77"/>
    <w:rsid w:val="00DF1A0B"/>
    <w:rsid w:val="00DF1AD5"/>
    <w:rsid w:val="00DF4C23"/>
    <w:rsid w:val="00E005B7"/>
    <w:rsid w:val="00E00C7F"/>
    <w:rsid w:val="00E00F56"/>
    <w:rsid w:val="00E025CF"/>
    <w:rsid w:val="00E037AF"/>
    <w:rsid w:val="00E1123A"/>
    <w:rsid w:val="00E11CAA"/>
    <w:rsid w:val="00E126C9"/>
    <w:rsid w:val="00E12E11"/>
    <w:rsid w:val="00E1358F"/>
    <w:rsid w:val="00E13F81"/>
    <w:rsid w:val="00E1712F"/>
    <w:rsid w:val="00E1749D"/>
    <w:rsid w:val="00E17540"/>
    <w:rsid w:val="00E226BB"/>
    <w:rsid w:val="00E259CB"/>
    <w:rsid w:val="00E27414"/>
    <w:rsid w:val="00E27DC6"/>
    <w:rsid w:val="00E30B13"/>
    <w:rsid w:val="00E31047"/>
    <w:rsid w:val="00E3443A"/>
    <w:rsid w:val="00E34B6D"/>
    <w:rsid w:val="00E35355"/>
    <w:rsid w:val="00E35BE1"/>
    <w:rsid w:val="00E36994"/>
    <w:rsid w:val="00E37279"/>
    <w:rsid w:val="00E37A2D"/>
    <w:rsid w:val="00E40A27"/>
    <w:rsid w:val="00E412CB"/>
    <w:rsid w:val="00E42E8F"/>
    <w:rsid w:val="00E44A42"/>
    <w:rsid w:val="00E47BF2"/>
    <w:rsid w:val="00E500BE"/>
    <w:rsid w:val="00E5188D"/>
    <w:rsid w:val="00E52CAE"/>
    <w:rsid w:val="00E56C58"/>
    <w:rsid w:val="00E61F79"/>
    <w:rsid w:val="00E62FFC"/>
    <w:rsid w:val="00E641B4"/>
    <w:rsid w:val="00E71CF0"/>
    <w:rsid w:val="00E7584F"/>
    <w:rsid w:val="00E762E1"/>
    <w:rsid w:val="00E834CB"/>
    <w:rsid w:val="00E835C4"/>
    <w:rsid w:val="00E843AB"/>
    <w:rsid w:val="00E87734"/>
    <w:rsid w:val="00E92523"/>
    <w:rsid w:val="00E92713"/>
    <w:rsid w:val="00E940C9"/>
    <w:rsid w:val="00E94716"/>
    <w:rsid w:val="00E959B1"/>
    <w:rsid w:val="00E97235"/>
    <w:rsid w:val="00E97618"/>
    <w:rsid w:val="00EA1C6D"/>
    <w:rsid w:val="00EA3377"/>
    <w:rsid w:val="00EA43BF"/>
    <w:rsid w:val="00EB0F04"/>
    <w:rsid w:val="00EB6C13"/>
    <w:rsid w:val="00EC001F"/>
    <w:rsid w:val="00EC0163"/>
    <w:rsid w:val="00EC01B1"/>
    <w:rsid w:val="00EC0283"/>
    <w:rsid w:val="00EC2153"/>
    <w:rsid w:val="00EC2EED"/>
    <w:rsid w:val="00EC39D7"/>
    <w:rsid w:val="00EC47CC"/>
    <w:rsid w:val="00EC5EC6"/>
    <w:rsid w:val="00EC714B"/>
    <w:rsid w:val="00EC7996"/>
    <w:rsid w:val="00ED0E2E"/>
    <w:rsid w:val="00ED1269"/>
    <w:rsid w:val="00ED5DC0"/>
    <w:rsid w:val="00EE1B0F"/>
    <w:rsid w:val="00EE3651"/>
    <w:rsid w:val="00EE3874"/>
    <w:rsid w:val="00EE4587"/>
    <w:rsid w:val="00EE6B01"/>
    <w:rsid w:val="00EF0499"/>
    <w:rsid w:val="00EF2255"/>
    <w:rsid w:val="00EF379E"/>
    <w:rsid w:val="00EF4133"/>
    <w:rsid w:val="00F0232E"/>
    <w:rsid w:val="00F06CBB"/>
    <w:rsid w:val="00F12A82"/>
    <w:rsid w:val="00F14C2D"/>
    <w:rsid w:val="00F16417"/>
    <w:rsid w:val="00F17221"/>
    <w:rsid w:val="00F2127C"/>
    <w:rsid w:val="00F21576"/>
    <w:rsid w:val="00F218F7"/>
    <w:rsid w:val="00F24080"/>
    <w:rsid w:val="00F305FC"/>
    <w:rsid w:val="00F31390"/>
    <w:rsid w:val="00F36BD3"/>
    <w:rsid w:val="00F37823"/>
    <w:rsid w:val="00F401BB"/>
    <w:rsid w:val="00F41A20"/>
    <w:rsid w:val="00F43B98"/>
    <w:rsid w:val="00F467DB"/>
    <w:rsid w:val="00F4688A"/>
    <w:rsid w:val="00F4738A"/>
    <w:rsid w:val="00F52187"/>
    <w:rsid w:val="00F56315"/>
    <w:rsid w:val="00F56688"/>
    <w:rsid w:val="00F667C4"/>
    <w:rsid w:val="00F67E69"/>
    <w:rsid w:val="00F70740"/>
    <w:rsid w:val="00F70F05"/>
    <w:rsid w:val="00F73951"/>
    <w:rsid w:val="00F74181"/>
    <w:rsid w:val="00F7666B"/>
    <w:rsid w:val="00F76715"/>
    <w:rsid w:val="00F76A84"/>
    <w:rsid w:val="00F80B1E"/>
    <w:rsid w:val="00F826EC"/>
    <w:rsid w:val="00F835AC"/>
    <w:rsid w:val="00F846B3"/>
    <w:rsid w:val="00F85B44"/>
    <w:rsid w:val="00F8671A"/>
    <w:rsid w:val="00F879C3"/>
    <w:rsid w:val="00F879E9"/>
    <w:rsid w:val="00F9024D"/>
    <w:rsid w:val="00F91233"/>
    <w:rsid w:val="00F914CD"/>
    <w:rsid w:val="00F92F79"/>
    <w:rsid w:val="00F94642"/>
    <w:rsid w:val="00F96F43"/>
    <w:rsid w:val="00FA0180"/>
    <w:rsid w:val="00FA06E6"/>
    <w:rsid w:val="00FA6067"/>
    <w:rsid w:val="00FB006C"/>
    <w:rsid w:val="00FB0EE6"/>
    <w:rsid w:val="00FB2DF9"/>
    <w:rsid w:val="00FB43A9"/>
    <w:rsid w:val="00FB5685"/>
    <w:rsid w:val="00FB729A"/>
    <w:rsid w:val="00FC223A"/>
    <w:rsid w:val="00FC2B35"/>
    <w:rsid w:val="00FC3C2B"/>
    <w:rsid w:val="00FC6D80"/>
    <w:rsid w:val="00FC6EBE"/>
    <w:rsid w:val="00FC76A8"/>
    <w:rsid w:val="00FC7890"/>
    <w:rsid w:val="00FD1D07"/>
    <w:rsid w:val="00FD1E1A"/>
    <w:rsid w:val="00FD229C"/>
    <w:rsid w:val="00FD4237"/>
    <w:rsid w:val="00FD4456"/>
    <w:rsid w:val="00FD7C74"/>
    <w:rsid w:val="00FE0565"/>
    <w:rsid w:val="00FE098E"/>
    <w:rsid w:val="00FE173B"/>
    <w:rsid w:val="00FE2704"/>
    <w:rsid w:val="00FE5747"/>
    <w:rsid w:val="00FE6D0A"/>
    <w:rsid w:val="00FE79A6"/>
    <w:rsid w:val="00FF1A8E"/>
    <w:rsid w:val="00FF1B7E"/>
    <w:rsid w:val="00FF22CA"/>
    <w:rsid w:val="00FF370D"/>
    <w:rsid w:val="00FF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Прямая соединительная линия 73"/>
        <o:r id="V:Rule2" type="connector" idref="#Прямая со стрелкой 64"/>
        <o:r id="V:Rule3" type="connector" idref="#Прямая со стрелкой 74"/>
        <o:r id="V:Rule4" type="connector" idref="#Прямая соединительная линия 72"/>
        <o:r id="V:Rule5" type="connector" idref="#Прямая со стрелкой 66"/>
        <o:r id="V:Rule6" type="connector" idref="#_x0000_s1070"/>
        <o:r id="V:Rule7" type="connector" idref="#Прямая со стрелкой 67"/>
        <o:r id="V:Rule8" type="connector" idref="#Прямая соединительная линия 90"/>
        <o:r id="V:Rule9" type="connector" idref="#_x0000_s1073"/>
        <o:r id="V:Rule10" type="connector" idref="#Прямая со стрелкой 70"/>
        <o:r id="V:Rule11" type="connector" idref="#Прямая соединительная линия 91"/>
        <o:r id="V:Rule12" type="connector" idref="#Прямая со стрелкой 83"/>
        <o:r id="V:Rule13" type="connector" idref="#Прямая со стрелкой 89"/>
        <o:r id="V:Rule14" type="connector" idref="#_x0000_s1072"/>
        <o:r id="V:Rule15" type="connector" idref="#Прямая со стрелкой 68"/>
        <o:r id="V:Rule16" type="connector" idref="#Прямая со стрелкой 63"/>
        <o:r id="V:Rule17" type="connector" idref="#Прямая соединительная линия 71"/>
        <o:r id="V:Rule18" type="connector" idref="#Прямая со стрелкой 65"/>
        <o:r id="V:Rule19" type="connector" idref="#Прямая со стрелкой 78"/>
        <o:r id="V:Rule20" type="connector" idref="#Прямая со стрелкой 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FE1"/>
    <w:pPr>
      <w:ind w:left="720"/>
      <w:contextualSpacing/>
    </w:pPr>
  </w:style>
  <w:style w:type="table" w:styleId="a4">
    <w:name w:val="Table Grid"/>
    <w:basedOn w:val="a1"/>
    <w:uiPriority w:val="59"/>
    <w:rsid w:val="0044055D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,Междустр.интервал:  множитель 1,7 ин"/>
    <w:basedOn w:val="a"/>
    <w:rsid w:val="004405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uiPriority w:val="99"/>
    <w:unhideWhenUsed/>
    <w:rsid w:val="00E6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FC"/>
  </w:style>
  <w:style w:type="paragraph" w:styleId="a7">
    <w:name w:val="footer"/>
    <w:basedOn w:val="a"/>
    <w:link w:val="a8"/>
    <w:uiPriority w:val="99"/>
    <w:unhideWhenUsed/>
    <w:rsid w:val="00E6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FFC"/>
  </w:style>
  <w:style w:type="character" w:customStyle="1" w:styleId="1">
    <w:name w:val="Основной текст Знак1"/>
    <w:basedOn w:val="a0"/>
    <w:link w:val="a9"/>
    <w:uiPriority w:val="99"/>
    <w:rsid w:val="006D1F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6D1FE3"/>
    <w:pPr>
      <w:shd w:val="clear" w:color="auto" w:fill="FFFFFF"/>
      <w:spacing w:before="540" w:after="1380" w:line="240" w:lineRule="atLeast"/>
      <w:ind w:hanging="36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6D1FE3"/>
  </w:style>
  <w:style w:type="character" w:customStyle="1" w:styleId="12pt3">
    <w:name w:val="Основной текст + 12 pt3"/>
    <w:aliases w:val="Полужирный18"/>
    <w:basedOn w:val="1"/>
    <w:uiPriority w:val="99"/>
    <w:rsid w:val="006D1FE3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D1F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D1FE3"/>
    <w:pPr>
      <w:shd w:val="clear" w:color="auto" w:fill="FFFFFF"/>
      <w:spacing w:before="60" w:after="0" w:line="480" w:lineRule="exact"/>
      <w:ind w:hanging="44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 + Курсив"/>
    <w:basedOn w:val="a0"/>
    <w:uiPriority w:val="99"/>
    <w:rsid w:val="006D1FE3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">
    <w:name w:val="Основной текст + Курсив6"/>
    <w:aliases w:val="Интервал 1 pt"/>
    <w:basedOn w:val="a0"/>
    <w:uiPriority w:val="99"/>
    <w:rsid w:val="006D1FE3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character" w:customStyle="1" w:styleId="50">
    <w:name w:val="Основной текст + Курсив5"/>
    <w:basedOn w:val="a0"/>
    <w:uiPriority w:val="99"/>
    <w:rsid w:val="006D1FE3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">
    <w:name w:val="Основной текст + Курсив4"/>
    <w:basedOn w:val="a0"/>
    <w:uiPriority w:val="99"/>
    <w:rsid w:val="006D1FE3"/>
    <w:rPr>
      <w:rFonts w:ascii="Times New Roman" w:hAnsi="Times New Roman" w:cs="Times New Roman"/>
      <w:b/>
      <w:bCs/>
      <w:i/>
      <w:iCs/>
      <w:spacing w:val="0"/>
      <w:sz w:val="26"/>
      <w:szCs w:val="26"/>
      <w:lang w:val="fr-FR" w:eastAsia="fr-FR"/>
    </w:rPr>
  </w:style>
  <w:style w:type="character" w:customStyle="1" w:styleId="55">
    <w:name w:val="Основной текст (5) + Не полужирный5"/>
    <w:aliases w:val="Курсив"/>
    <w:basedOn w:val="5"/>
    <w:uiPriority w:val="99"/>
    <w:rsid w:val="006D1FE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  <w:lang w:val="en-US" w:eastAsia="en-US"/>
    </w:rPr>
  </w:style>
  <w:style w:type="character" w:customStyle="1" w:styleId="10">
    <w:name w:val="Основной текст + Курсив10"/>
    <w:basedOn w:val="1"/>
    <w:uiPriority w:val="99"/>
    <w:rsid w:val="006D1FE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character" w:customStyle="1" w:styleId="9">
    <w:name w:val="Основной текст + Курсив9"/>
    <w:basedOn w:val="1"/>
    <w:uiPriority w:val="99"/>
    <w:rsid w:val="006D1FE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27DC6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л–’”‰’”Ћ Њђ–_"/>
    <w:basedOn w:val="a0"/>
    <w:link w:val="12"/>
    <w:uiPriority w:val="99"/>
    <w:rsid w:val="00DB00D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л–’”‰’”Ћ Њђ–1"/>
    <w:basedOn w:val="a"/>
    <w:link w:val="ac"/>
    <w:uiPriority w:val="99"/>
    <w:rsid w:val="00DB00DB"/>
    <w:pPr>
      <w:shd w:val="clear" w:color="auto" w:fill="FFFFFF"/>
      <w:spacing w:before="540" w:after="1380" w:line="240" w:lineRule="atLeast"/>
      <w:ind w:hanging="36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16">
    <w:name w:val="л–’”‰’”Ћ Њђ– (16)"/>
    <w:basedOn w:val="a0"/>
    <w:uiPriority w:val="99"/>
    <w:rsid w:val="00DB00DB"/>
    <w:rPr>
      <w:rFonts w:ascii="Times New Roman" w:hAnsi="Times New Roman" w:cs="Times New Roman"/>
      <w:spacing w:val="0"/>
      <w:sz w:val="25"/>
      <w:szCs w:val="25"/>
    </w:rPr>
  </w:style>
  <w:style w:type="character" w:customStyle="1" w:styleId="1654">
    <w:name w:val="л–’”‰’”Ћ Њђ– (16)54"/>
    <w:basedOn w:val="a0"/>
    <w:uiPriority w:val="99"/>
    <w:rsid w:val="00DB00D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60">
    <w:name w:val="л–’”‰’”Ћ Њђ– (16)_"/>
    <w:basedOn w:val="a0"/>
    <w:link w:val="161"/>
    <w:uiPriority w:val="99"/>
    <w:rsid w:val="00DB00D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61">
    <w:name w:val="л–’”‰’”Ћ Њђ– (16)1"/>
    <w:basedOn w:val="a"/>
    <w:link w:val="160"/>
    <w:uiPriority w:val="99"/>
    <w:rsid w:val="00DB00D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630">
    <w:name w:val="л–’”‰’”Ћ Њђ– (16)30"/>
    <w:basedOn w:val="160"/>
    <w:uiPriority w:val="99"/>
    <w:rsid w:val="00DB00D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629">
    <w:name w:val="л–’”‰’”Ћ Њђ– (16)29"/>
    <w:basedOn w:val="160"/>
    <w:uiPriority w:val="99"/>
    <w:rsid w:val="00DB00DB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100">
    <w:name w:val="л–’”‰’”Ћ Њђ–10"/>
    <w:basedOn w:val="ac"/>
    <w:uiPriority w:val="99"/>
    <w:rsid w:val="00DB00D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622">
    <w:name w:val="л–’”‰’”Ћ Њђ– (16)22"/>
    <w:basedOn w:val="160"/>
    <w:uiPriority w:val="99"/>
    <w:rsid w:val="00DB00DB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1621">
    <w:name w:val="л–’”‰’”Ћ Њђ– (16)21"/>
    <w:basedOn w:val="160"/>
    <w:uiPriority w:val="99"/>
    <w:rsid w:val="00DB00DB"/>
    <w:rPr>
      <w:rFonts w:ascii="Times New Roman" w:hAnsi="Times New Roman" w:cs="Times New Roman"/>
      <w:noProof/>
      <w:spacing w:val="0"/>
      <w:sz w:val="25"/>
      <w:szCs w:val="25"/>
      <w:shd w:val="clear" w:color="auto" w:fill="FFFFFF"/>
    </w:rPr>
  </w:style>
  <w:style w:type="character" w:customStyle="1" w:styleId="1620">
    <w:name w:val="л–’”‰’”Ћ Њђ– (16)20"/>
    <w:basedOn w:val="160"/>
    <w:uiPriority w:val="99"/>
    <w:rsid w:val="00DB00DB"/>
    <w:rPr>
      <w:rFonts w:ascii="Times New Roman" w:hAnsi="Times New Roman" w:cs="Times New Roman"/>
      <w:noProof/>
      <w:spacing w:val="0"/>
      <w:sz w:val="25"/>
      <w:szCs w:val="25"/>
      <w:shd w:val="clear" w:color="auto" w:fill="FFFFFF"/>
    </w:rPr>
  </w:style>
  <w:style w:type="character" w:customStyle="1" w:styleId="1612">
    <w:name w:val="л–’”‰’”Ћ Њђ– (16)12"/>
    <w:basedOn w:val="160"/>
    <w:uiPriority w:val="99"/>
    <w:rsid w:val="00DB00DB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1611">
    <w:name w:val="л–’”‰’”Ћ Њђ– (16)11"/>
    <w:basedOn w:val="160"/>
    <w:uiPriority w:val="99"/>
    <w:rsid w:val="00DB00DB"/>
    <w:rPr>
      <w:rFonts w:ascii="Times New Roman" w:hAnsi="Times New Roman" w:cs="Times New Roman"/>
      <w:noProof/>
      <w:spacing w:val="0"/>
      <w:sz w:val="25"/>
      <w:szCs w:val="25"/>
      <w:shd w:val="clear" w:color="auto" w:fill="FFFFFF"/>
    </w:rPr>
  </w:style>
  <w:style w:type="paragraph" w:customStyle="1" w:styleId="ad">
    <w:name w:val="Мой любимый"/>
    <w:basedOn w:val="a"/>
    <w:link w:val="ae"/>
    <w:uiPriority w:val="99"/>
    <w:rsid w:val="00DB00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e">
    <w:name w:val="Мой любимый Знак"/>
    <w:link w:val="ad"/>
    <w:uiPriority w:val="99"/>
    <w:locked/>
    <w:rsid w:val="00DB00DB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hps">
    <w:name w:val="hps"/>
    <w:basedOn w:val="a0"/>
    <w:rsid w:val="003D13E5"/>
  </w:style>
  <w:style w:type="character" w:customStyle="1" w:styleId="550">
    <w:name w:val="л–’”‰’”Ћ Њђ– (5) + кЊ •”‘—ѕЏ_’ћЋ5"/>
    <w:aliases w:val="ж—_–Џ‰"/>
    <w:basedOn w:val="a0"/>
    <w:uiPriority w:val="99"/>
    <w:rsid w:val="003D13E5"/>
    <w:rPr>
      <w:rFonts w:ascii="Times New Roman" w:hAnsi="Times New Roman" w:cs="Times New Roman"/>
      <w:b w:val="0"/>
      <w:bCs w:val="0"/>
      <w:i/>
      <w:iCs/>
      <w:spacing w:val="0"/>
      <w:sz w:val="26"/>
      <w:szCs w:val="26"/>
      <w:lang w:val="en-US" w:eastAsia="en-US"/>
    </w:rPr>
  </w:style>
  <w:style w:type="character" w:styleId="af">
    <w:name w:val="Hyperlink"/>
    <w:basedOn w:val="a0"/>
    <w:uiPriority w:val="99"/>
    <w:unhideWhenUsed/>
    <w:rsid w:val="003D13E5"/>
    <w:rPr>
      <w:color w:val="0000FF" w:themeColor="hyperlink"/>
      <w:u w:val="single"/>
    </w:rPr>
  </w:style>
  <w:style w:type="character" w:customStyle="1" w:styleId="13pt">
    <w:name w:val="Основной текст + 13 pt"/>
    <w:aliases w:val="Курсив2,Интервал 0 pt2"/>
    <w:basedOn w:val="1"/>
    <w:uiPriority w:val="99"/>
    <w:rsid w:val="003D13E5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  <w:lang w:val="de-DE" w:eastAsia="de-DE"/>
    </w:rPr>
  </w:style>
  <w:style w:type="table" w:customStyle="1" w:styleId="2">
    <w:name w:val="Сетка таблицы2"/>
    <w:basedOn w:val="a1"/>
    <w:next w:val="a4"/>
    <w:uiPriority w:val="59"/>
    <w:rsid w:val="00F879E9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879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79E9"/>
    <w:rPr>
      <w:rFonts w:ascii="Tahoma" w:eastAsiaTheme="minorHAnsi" w:hAnsi="Tahoma" w:cs="Tahoma"/>
      <w:sz w:val="16"/>
      <w:szCs w:val="16"/>
      <w:lang w:eastAsia="en-US"/>
    </w:rPr>
  </w:style>
  <w:style w:type="table" w:customStyle="1" w:styleId="3">
    <w:name w:val="Сетка таблицы3"/>
    <w:basedOn w:val="a1"/>
    <w:next w:val="a4"/>
    <w:uiPriority w:val="59"/>
    <w:rsid w:val="00F879E9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59"/>
    <w:rsid w:val="00F879E9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05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ot">
    <w:name w:val="dsot"/>
    <w:basedOn w:val="a"/>
    <w:uiPriority w:val="99"/>
    <w:rsid w:val="006E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22"/>
    <w:locked/>
    <w:rsid w:val="006E07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2"/>
    <w:basedOn w:val="a"/>
    <w:link w:val="af3"/>
    <w:rsid w:val="006E07DF"/>
    <w:pPr>
      <w:shd w:val="clear" w:color="auto" w:fill="FFFFFF"/>
      <w:spacing w:after="420" w:line="475" w:lineRule="exact"/>
      <w:ind w:hanging="1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uiPriority w:val="99"/>
    <w:rsid w:val="006E07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E07DF"/>
  </w:style>
  <w:style w:type="character" w:customStyle="1" w:styleId="dopbold">
    <w:name w:val="dop_bold"/>
    <w:basedOn w:val="a0"/>
    <w:rsid w:val="006E07DF"/>
  </w:style>
  <w:style w:type="character" w:customStyle="1" w:styleId="1pt1">
    <w:name w:val="л–’”‰’”Ћ Њђ– + й’Њ_‰€‘ 1 pt1"/>
    <w:basedOn w:val="a0"/>
    <w:uiPriority w:val="99"/>
    <w:rsid w:val="006E07DF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hl">
    <w:name w:val="hl"/>
    <w:basedOn w:val="a0"/>
    <w:rsid w:val="006E07DF"/>
  </w:style>
  <w:style w:type="character" w:customStyle="1" w:styleId="num">
    <w:name w:val="num"/>
    <w:basedOn w:val="a0"/>
    <w:rsid w:val="006E07DF"/>
  </w:style>
  <w:style w:type="character" w:customStyle="1" w:styleId="af4">
    <w:name w:val="Основной текст + Малые прописные"/>
    <w:basedOn w:val="a0"/>
    <w:uiPriority w:val="99"/>
    <w:rsid w:val="006E07DF"/>
    <w:rPr>
      <w:rFonts w:ascii="Times New Roman" w:eastAsia="Times New Roman" w:hAnsi="Times New Roman" w:cs="Times New Roman" w:hint="default"/>
      <w:smallCaps/>
      <w:sz w:val="28"/>
      <w:szCs w:val="28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basedOn w:val="a0"/>
    <w:uiPriority w:val="99"/>
    <w:rsid w:val="006E07DF"/>
    <w:rPr>
      <w:rFonts w:ascii="Times New Roman" w:eastAsia="Times New Roman" w:hAnsi="Times New Roman" w:cs="Times New Roman" w:hint="default"/>
      <w:spacing w:val="20"/>
      <w:sz w:val="28"/>
      <w:szCs w:val="28"/>
      <w:shd w:val="clear" w:color="auto" w:fill="FFFFFF"/>
      <w:lang w:val="en-US" w:eastAsia="en-US"/>
    </w:rPr>
  </w:style>
  <w:style w:type="character" w:styleId="af5">
    <w:name w:val="Emphasis"/>
    <w:basedOn w:val="a0"/>
    <w:uiPriority w:val="20"/>
    <w:qFormat/>
    <w:rsid w:val="006E07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7.jpeg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5" Type="http://schemas.openxmlformats.org/officeDocument/2006/relationships/chart" Target="charts/chart3.xml"/><Relationship Id="rId33" Type="http://schemas.openxmlformats.org/officeDocument/2006/relationships/chart" Target="charts/chart1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hart" Target="charts/chart2.xml"/><Relationship Id="rId32" Type="http://schemas.openxmlformats.org/officeDocument/2006/relationships/chart" Target="charts/chart10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chart" Target="charts/chart1.xml"/><Relationship Id="rId28" Type="http://schemas.openxmlformats.org/officeDocument/2006/relationships/chart" Target="charts/chart6.xml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jpeg"/><Relationship Id="rId31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jpeg"/><Relationship Id="rId27" Type="http://schemas.openxmlformats.org/officeDocument/2006/relationships/chart" Target="charts/chart5.xml"/><Relationship Id="rId30" Type="http://schemas.openxmlformats.org/officeDocument/2006/relationships/chart" Target="charts/chart8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ownloads\&#1056;&#1072;&#1079;&#1076;&#1077;&#1083;%205.%20&#1043;&#1080;&#1089;&#1090;&#1086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72E-2"/>
          <c:w val="0.68999380512219122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Лист1!$C$1:$E$1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Лист1!$C$2:$E$2</c:f>
              <c:numCache>
                <c:formatCode>General</c:formatCode>
                <c:ptCount val="3"/>
                <c:pt idx="0">
                  <c:v>10.67</c:v>
                </c:pt>
                <c:pt idx="1">
                  <c:v>4.9700000000000024</c:v>
                </c:pt>
                <c:pt idx="2">
                  <c:v>6.59</c:v>
                </c:pt>
              </c:numCache>
            </c:numRef>
          </c:val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Група порівняння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Лист1!$C$1:$E$1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Лист1!$C$3:$E$3</c:f>
              <c:numCache>
                <c:formatCode>General</c:formatCode>
                <c:ptCount val="3"/>
                <c:pt idx="0">
                  <c:v>10.62</c:v>
                </c:pt>
                <c:pt idx="1">
                  <c:v>7.3199999999999985</c:v>
                </c:pt>
                <c:pt idx="2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366400"/>
        <c:axId val="143376384"/>
        <c:axId val="0"/>
      </c:bar3DChart>
      <c:catAx>
        <c:axId val="143366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376384"/>
        <c:crosses val="autoZero"/>
        <c:auto val="1"/>
        <c:lblAlgn val="ctr"/>
        <c:lblOffset val="100"/>
        <c:noMultiLvlLbl val="0"/>
      </c:catAx>
      <c:valAx>
        <c:axId val="14337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36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7290230025589"/>
          <c:y val="0.37064339098375182"/>
          <c:w val="0.24512316395233241"/>
          <c:h val="0.176601473202946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65E-2"/>
          <c:w val="0.689993805122189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Лист1!$B$197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Лист1!$C$196:$E$196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Лист1!$C$197:$E$197</c:f>
              <c:numCache>
                <c:formatCode>General</c:formatCode>
                <c:ptCount val="3"/>
                <c:pt idx="0">
                  <c:v>6.71</c:v>
                </c:pt>
                <c:pt idx="1">
                  <c:v>2.63</c:v>
                </c:pt>
                <c:pt idx="2">
                  <c:v>3.66</c:v>
                </c:pt>
              </c:numCache>
            </c:numRef>
          </c:val>
        </c:ser>
        <c:ser>
          <c:idx val="1"/>
          <c:order val="1"/>
          <c:tx>
            <c:strRef>
              <c:f>Лист1!$B$198</c:f>
              <c:strCache>
                <c:ptCount val="1"/>
                <c:pt idx="0">
                  <c:v>Група порівняння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Лист1!$C$196:$E$196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Лист1!$C$198:$E$198</c:f>
              <c:numCache>
                <c:formatCode>General</c:formatCode>
                <c:ptCount val="3"/>
                <c:pt idx="0">
                  <c:v>6.7</c:v>
                </c:pt>
                <c:pt idx="1">
                  <c:v>3.4299999999999997</c:v>
                </c:pt>
                <c:pt idx="2">
                  <c:v>4.72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323520"/>
        <c:axId val="143325056"/>
        <c:axId val="0"/>
      </c:bar3DChart>
      <c:catAx>
        <c:axId val="143323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325056"/>
        <c:crosses val="autoZero"/>
        <c:auto val="1"/>
        <c:lblAlgn val="ctr"/>
        <c:lblOffset val="100"/>
        <c:noMultiLvlLbl val="0"/>
      </c:catAx>
      <c:valAx>
        <c:axId val="14332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323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7290230025589"/>
          <c:y val="0.37064339098375182"/>
          <c:w val="0.24512316395233241"/>
          <c:h val="0.176601473202946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65E-2"/>
          <c:w val="0.69203811480086708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Лист1!$C$215</c:f>
              <c:strCache>
                <c:ptCount val="1"/>
                <c:pt idx="0">
                  <c:v>До лікування</c:v>
                </c:pt>
              </c:strCache>
            </c:strRef>
          </c:tx>
          <c:spPr>
            <a:solidFill>
              <a:srgbClr val="F650E2"/>
            </a:solidFill>
          </c:spPr>
          <c:invertIfNegative val="0"/>
          <c:cat>
            <c:multiLvlStrRef>
              <c:f>Лист1!$A$216:$B$219</c:f>
              <c:multiLvlStrCache>
                <c:ptCount val="4"/>
                <c:lvl>
                  <c:pt idx="0">
                    <c:v>Основна група</c:v>
                  </c:pt>
                  <c:pt idx="1">
                    <c:v>Група порівняння</c:v>
                  </c:pt>
                  <c:pt idx="2">
                    <c:v>Основна група</c:v>
                  </c:pt>
                  <c:pt idx="3">
                    <c:v>Група порівняння</c:v>
                  </c:pt>
                </c:lvl>
                <c:lvl>
                  <c:pt idx="0">
                    <c:v>Гострий період,          період рецидиву</c:v>
                  </c:pt>
                  <c:pt idx="2">
                    <c:v>Період ремісії</c:v>
                  </c:pt>
                </c:lvl>
              </c:multiLvlStrCache>
            </c:multiLvlStrRef>
          </c:cat>
          <c:val>
            <c:numRef>
              <c:f>Лист1!$C$216:$C$219</c:f>
              <c:numCache>
                <c:formatCode>General</c:formatCode>
                <c:ptCount val="4"/>
                <c:pt idx="0">
                  <c:v>0.26</c:v>
                </c:pt>
                <c:pt idx="1">
                  <c:v>0.28000000000000008</c:v>
                </c:pt>
                <c:pt idx="2">
                  <c:v>0.33000000000000185</c:v>
                </c:pt>
                <c:pt idx="3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Лист1!$D$215</c:f>
              <c:strCache>
                <c:ptCount val="1"/>
                <c:pt idx="0">
                  <c:v>В кінці лікування</c:v>
                </c:pt>
              </c:strCache>
            </c:strRef>
          </c:tx>
          <c:spPr>
            <a:solidFill>
              <a:srgbClr val="A162D0"/>
            </a:solidFill>
          </c:spPr>
          <c:invertIfNegative val="0"/>
          <c:cat>
            <c:multiLvlStrRef>
              <c:f>Лист1!$A$216:$B$219</c:f>
              <c:multiLvlStrCache>
                <c:ptCount val="4"/>
                <c:lvl>
                  <c:pt idx="0">
                    <c:v>Основна група</c:v>
                  </c:pt>
                  <c:pt idx="1">
                    <c:v>Група порівняння</c:v>
                  </c:pt>
                  <c:pt idx="2">
                    <c:v>Основна група</c:v>
                  </c:pt>
                  <c:pt idx="3">
                    <c:v>Група порівняння</c:v>
                  </c:pt>
                </c:lvl>
                <c:lvl>
                  <c:pt idx="0">
                    <c:v>Гострий період,          період рецидиву</c:v>
                  </c:pt>
                  <c:pt idx="2">
                    <c:v>Період ремісії</c:v>
                  </c:pt>
                </c:lvl>
              </c:multiLvlStrCache>
            </c:multiLvlStrRef>
          </c:cat>
          <c:val>
            <c:numRef>
              <c:f>Лист1!$D$216:$D$219</c:f>
              <c:numCache>
                <c:formatCode>General</c:formatCode>
                <c:ptCount val="4"/>
                <c:pt idx="0">
                  <c:v>0.49000000000000032</c:v>
                </c:pt>
                <c:pt idx="1">
                  <c:v>0.35000000000000031</c:v>
                </c:pt>
                <c:pt idx="2">
                  <c:v>0.58000000000000007</c:v>
                </c:pt>
                <c:pt idx="3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411840"/>
        <c:axId val="143413632"/>
        <c:axId val="0"/>
      </c:bar3DChart>
      <c:catAx>
        <c:axId val="143411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413632"/>
        <c:crosses val="autoZero"/>
        <c:auto val="1"/>
        <c:lblAlgn val="ctr"/>
        <c:lblOffset val="100"/>
        <c:noMultiLvlLbl val="0"/>
      </c:catAx>
      <c:valAx>
        <c:axId val="14341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41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22880292137885"/>
          <c:y val="0.35891318570516112"/>
          <c:w val="0.21515544252620744"/>
          <c:h val="0.160340514620423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65E-2"/>
          <c:w val="0.69203811480086708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Лист1!$C$236</c:f>
              <c:strCache>
                <c:ptCount val="1"/>
                <c:pt idx="0">
                  <c:v>До лікування</c:v>
                </c:pt>
              </c:strCache>
            </c:strRef>
          </c:tx>
          <c:spPr>
            <a:solidFill>
              <a:srgbClr val="F650E2"/>
            </a:solidFill>
          </c:spPr>
          <c:invertIfNegative val="0"/>
          <c:cat>
            <c:multiLvlStrRef>
              <c:f>Лист1!$A$237:$B$240</c:f>
              <c:multiLvlStrCache>
                <c:ptCount val="4"/>
                <c:lvl>
                  <c:pt idx="0">
                    <c:v>Основна група</c:v>
                  </c:pt>
                  <c:pt idx="1">
                    <c:v>Група порівняння</c:v>
                  </c:pt>
                  <c:pt idx="2">
                    <c:v>Основна група</c:v>
                  </c:pt>
                  <c:pt idx="3">
                    <c:v>Група порівняння</c:v>
                  </c:pt>
                </c:lvl>
                <c:lvl>
                  <c:pt idx="0">
                    <c:v>Гострий період,          період рецидиву</c:v>
                  </c:pt>
                  <c:pt idx="2">
                    <c:v>Період ремісії</c:v>
                  </c:pt>
                </c:lvl>
              </c:multiLvlStrCache>
            </c:multiLvlStrRef>
          </c:cat>
          <c:val>
            <c:numRef>
              <c:f>Лист1!$C$237:$C$240</c:f>
              <c:numCache>
                <c:formatCode>General</c:formatCode>
                <c:ptCount val="4"/>
                <c:pt idx="0">
                  <c:v>2.9699999999999998</c:v>
                </c:pt>
                <c:pt idx="1">
                  <c:v>2.98</c:v>
                </c:pt>
                <c:pt idx="2">
                  <c:v>2.74</c:v>
                </c:pt>
                <c:pt idx="3">
                  <c:v>2.75</c:v>
                </c:pt>
              </c:numCache>
            </c:numRef>
          </c:val>
        </c:ser>
        <c:ser>
          <c:idx val="1"/>
          <c:order val="1"/>
          <c:tx>
            <c:strRef>
              <c:f>Лист1!$D$236</c:f>
              <c:strCache>
                <c:ptCount val="1"/>
                <c:pt idx="0">
                  <c:v>В кінці лікування</c:v>
                </c:pt>
              </c:strCache>
            </c:strRef>
          </c:tx>
          <c:spPr>
            <a:solidFill>
              <a:srgbClr val="A162D0"/>
            </a:solidFill>
          </c:spPr>
          <c:invertIfNegative val="0"/>
          <c:cat>
            <c:multiLvlStrRef>
              <c:f>Лист1!$A$237:$B$240</c:f>
              <c:multiLvlStrCache>
                <c:ptCount val="4"/>
                <c:lvl>
                  <c:pt idx="0">
                    <c:v>Основна група</c:v>
                  </c:pt>
                  <c:pt idx="1">
                    <c:v>Група порівняння</c:v>
                  </c:pt>
                  <c:pt idx="2">
                    <c:v>Основна група</c:v>
                  </c:pt>
                  <c:pt idx="3">
                    <c:v>Група порівняння</c:v>
                  </c:pt>
                </c:lvl>
                <c:lvl>
                  <c:pt idx="0">
                    <c:v>Гострий період,          період рецидиву</c:v>
                  </c:pt>
                  <c:pt idx="2">
                    <c:v>Період ремісії</c:v>
                  </c:pt>
                </c:lvl>
              </c:multiLvlStrCache>
            </c:multiLvlStrRef>
          </c:cat>
          <c:val>
            <c:numRef>
              <c:f>Лист1!$D$237:$D$240</c:f>
              <c:numCache>
                <c:formatCode>General</c:formatCode>
                <c:ptCount val="4"/>
                <c:pt idx="0">
                  <c:v>2.46</c:v>
                </c:pt>
                <c:pt idx="1">
                  <c:v>2.73</c:v>
                </c:pt>
                <c:pt idx="2">
                  <c:v>2.08</c:v>
                </c:pt>
                <c:pt idx="3">
                  <c:v>2.3899999999999997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438976"/>
        <c:axId val="143440512"/>
        <c:axId val="0"/>
      </c:bar3DChart>
      <c:catAx>
        <c:axId val="143438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440512"/>
        <c:crosses val="autoZero"/>
        <c:auto val="1"/>
        <c:lblAlgn val="ctr"/>
        <c:lblOffset val="100"/>
        <c:noMultiLvlLbl val="0"/>
      </c:catAx>
      <c:valAx>
        <c:axId val="14344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43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22880292137885"/>
          <c:y val="0.35891318570516112"/>
          <c:w val="0.21515544252620744"/>
          <c:h val="0.160340514620423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65E-2"/>
          <c:w val="0.68999380512218922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Лист1!$B$30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Лист1!$C$29:$E$29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Лист1!$C$30:$E$30</c:f>
              <c:numCache>
                <c:formatCode>General</c:formatCode>
                <c:ptCount val="3"/>
                <c:pt idx="0">
                  <c:v>9.98</c:v>
                </c:pt>
                <c:pt idx="1">
                  <c:v>4.4400000000000004</c:v>
                </c:pt>
                <c:pt idx="2">
                  <c:v>6.03</c:v>
                </c:pt>
              </c:numCache>
            </c:numRef>
          </c:val>
        </c:ser>
        <c:ser>
          <c:idx val="1"/>
          <c:order val="1"/>
          <c:tx>
            <c:strRef>
              <c:f>Лист1!$B$31</c:f>
              <c:strCache>
                <c:ptCount val="1"/>
                <c:pt idx="0">
                  <c:v>Група порівняння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Лист1!$C$29:$E$29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Лист1!$C$31:$E$31</c:f>
              <c:numCache>
                <c:formatCode>General</c:formatCode>
                <c:ptCount val="3"/>
                <c:pt idx="0">
                  <c:v>9.9500000000000028</c:v>
                </c:pt>
                <c:pt idx="1">
                  <c:v>6.6499999999999995</c:v>
                </c:pt>
                <c:pt idx="2">
                  <c:v>8.99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389440"/>
        <c:axId val="143390976"/>
        <c:axId val="0"/>
      </c:bar3DChart>
      <c:catAx>
        <c:axId val="143389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390976"/>
        <c:crosses val="autoZero"/>
        <c:auto val="1"/>
        <c:lblAlgn val="ctr"/>
        <c:lblOffset val="100"/>
        <c:noMultiLvlLbl val="0"/>
      </c:catAx>
      <c:valAx>
        <c:axId val="14339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38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7290230025589"/>
          <c:y val="0.37064339098375182"/>
          <c:w val="0.24512316395233241"/>
          <c:h val="0.176601473202946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65E-2"/>
          <c:w val="0.68999380512218922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Лист1!$B$50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solidFill>
              <a:srgbClr val="A591BD"/>
            </a:solidFill>
          </c:spPr>
          <c:invertIfNegative val="0"/>
          <c:cat>
            <c:strRef>
              <c:f>Лист1!$C$49:$E$49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Лист1!$C$50:$E$50</c:f>
              <c:numCache>
                <c:formatCode>General</c:formatCode>
                <c:ptCount val="3"/>
                <c:pt idx="0">
                  <c:v>0.11</c:v>
                </c:pt>
                <c:pt idx="1">
                  <c:v>0.28000000000000008</c:v>
                </c:pt>
                <c:pt idx="2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Лист1!$B$51</c:f>
              <c:strCache>
                <c:ptCount val="1"/>
                <c:pt idx="0">
                  <c:v>Група порівняння</c:v>
                </c:pt>
              </c:strCache>
            </c:strRef>
          </c:tx>
          <c:spPr>
            <a:solidFill>
              <a:srgbClr val="F650E2"/>
            </a:solidFill>
          </c:spPr>
          <c:invertIfNegative val="0"/>
          <c:cat>
            <c:strRef>
              <c:f>Лист1!$C$49:$E$49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Лист1!$C$51:$E$51</c:f>
              <c:numCache>
                <c:formatCode>General</c:formatCode>
                <c:ptCount val="3"/>
                <c:pt idx="0">
                  <c:v>0.12000000000000002</c:v>
                </c:pt>
                <c:pt idx="1">
                  <c:v>0.15000000000000024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199808"/>
        <c:axId val="142209792"/>
        <c:axId val="0"/>
      </c:bar3DChart>
      <c:catAx>
        <c:axId val="142199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2209792"/>
        <c:crosses val="autoZero"/>
        <c:auto val="1"/>
        <c:lblAlgn val="ctr"/>
        <c:lblOffset val="100"/>
        <c:noMultiLvlLbl val="0"/>
      </c:catAx>
      <c:valAx>
        <c:axId val="14220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219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7290230025589"/>
          <c:y val="0.37064339098375182"/>
          <c:w val="0.24512316395233241"/>
          <c:h val="0.176601473202946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65E-2"/>
          <c:w val="0.68999380512218922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Лист1!$B$73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solidFill>
              <a:srgbClr val="A591BD"/>
            </a:solidFill>
          </c:spPr>
          <c:invertIfNegative val="0"/>
          <c:cat>
            <c:strRef>
              <c:f>Лист1!$C$72:$E$72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Лист1!$C$73:$E$73</c:f>
              <c:numCache>
                <c:formatCode>General</c:formatCode>
                <c:ptCount val="3"/>
                <c:pt idx="0">
                  <c:v>0.16</c:v>
                </c:pt>
                <c:pt idx="1">
                  <c:v>0.31000000000000139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Лист1!$B$74</c:f>
              <c:strCache>
                <c:ptCount val="1"/>
                <c:pt idx="0">
                  <c:v>Група порівняння</c:v>
                </c:pt>
              </c:strCache>
            </c:strRef>
          </c:tx>
          <c:spPr>
            <a:solidFill>
              <a:srgbClr val="F650E2"/>
            </a:solidFill>
          </c:spPr>
          <c:invertIfNegative val="0"/>
          <c:cat>
            <c:strRef>
              <c:f>Лист1!$C$72:$E$72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Лист1!$C$74:$E$74</c:f>
              <c:numCache>
                <c:formatCode>General</c:formatCode>
                <c:ptCount val="3"/>
                <c:pt idx="0">
                  <c:v>0.17</c:v>
                </c:pt>
                <c:pt idx="1">
                  <c:v>0.25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931456"/>
        <c:axId val="142932992"/>
        <c:axId val="0"/>
      </c:bar3DChart>
      <c:catAx>
        <c:axId val="142931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2932992"/>
        <c:crosses val="autoZero"/>
        <c:auto val="1"/>
        <c:lblAlgn val="ctr"/>
        <c:lblOffset val="100"/>
        <c:noMultiLvlLbl val="0"/>
      </c:catAx>
      <c:valAx>
        <c:axId val="14293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293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7290230025589"/>
          <c:y val="0.37064339098375182"/>
          <c:w val="0.24512316395233241"/>
          <c:h val="0.176601473202946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65E-2"/>
          <c:w val="0.689993805122189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Лист1!$B$90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Лист1!$C$89:$E$89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Лист1!$C$90:$E$90</c:f>
              <c:numCache>
                <c:formatCode>General</c:formatCode>
                <c:ptCount val="3"/>
                <c:pt idx="0">
                  <c:v>9.81</c:v>
                </c:pt>
                <c:pt idx="1">
                  <c:v>25.02</c:v>
                </c:pt>
                <c:pt idx="2">
                  <c:v>23.06</c:v>
                </c:pt>
              </c:numCache>
            </c:numRef>
          </c:val>
        </c:ser>
        <c:ser>
          <c:idx val="1"/>
          <c:order val="1"/>
          <c:tx>
            <c:strRef>
              <c:f>Лист1!$B$91</c:f>
              <c:strCache>
                <c:ptCount val="1"/>
                <c:pt idx="0">
                  <c:v>Група порівняння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Лист1!$C$89:$E$89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Лист1!$C$91:$E$91</c:f>
              <c:numCache>
                <c:formatCode>General</c:formatCode>
                <c:ptCount val="3"/>
                <c:pt idx="0">
                  <c:v>9.7900000000000009</c:v>
                </c:pt>
                <c:pt idx="1">
                  <c:v>17.52</c:v>
                </c:pt>
                <c:pt idx="2">
                  <c:v>13.47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351808"/>
        <c:axId val="143353344"/>
        <c:axId val="0"/>
      </c:bar3DChart>
      <c:catAx>
        <c:axId val="143351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353344"/>
        <c:crosses val="autoZero"/>
        <c:auto val="1"/>
        <c:lblAlgn val="ctr"/>
        <c:lblOffset val="100"/>
        <c:noMultiLvlLbl val="0"/>
      </c:catAx>
      <c:valAx>
        <c:axId val="14335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351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7290230025589"/>
          <c:y val="0.37064339098375182"/>
          <c:w val="0.24512316395233241"/>
          <c:h val="0.176601473202946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65E-2"/>
          <c:w val="0.689993805122189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Лист1!$B$112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Лист1!$C$111:$E$111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Лист1!$C$112:$E$112</c:f>
              <c:numCache>
                <c:formatCode>General</c:formatCode>
                <c:ptCount val="3"/>
                <c:pt idx="0">
                  <c:v>13.53</c:v>
                </c:pt>
                <c:pt idx="1">
                  <c:v>26.95</c:v>
                </c:pt>
                <c:pt idx="2">
                  <c:v>25.310000000000031</c:v>
                </c:pt>
              </c:numCache>
            </c:numRef>
          </c:val>
        </c:ser>
        <c:ser>
          <c:idx val="1"/>
          <c:order val="1"/>
          <c:tx>
            <c:strRef>
              <c:f>Лист1!$B$113</c:f>
              <c:strCache>
                <c:ptCount val="1"/>
                <c:pt idx="0">
                  <c:v>Група порівняння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Лист1!$C$111:$E$111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Лист1!$C$113:$E$113</c:f>
              <c:numCache>
                <c:formatCode>General</c:formatCode>
                <c:ptCount val="3"/>
                <c:pt idx="0">
                  <c:v>13.51</c:v>
                </c:pt>
                <c:pt idx="1">
                  <c:v>21.54</c:v>
                </c:pt>
                <c:pt idx="2">
                  <c:v>19.14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087872"/>
        <c:axId val="143093760"/>
        <c:axId val="0"/>
      </c:bar3DChart>
      <c:catAx>
        <c:axId val="143087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093760"/>
        <c:crosses val="autoZero"/>
        <c:auto val="1"/>
        <c:lblAlgn val="ctr"/>
        <c:lblOffset val="100"/>
        <c:noMultiLvlLbl val="0"/>
      </c:catAx>
      <c:valAx>
        <c:axId val="14309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08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7290230025589"/>
          <c:y val="0.37064339098375182"/>
          <c:w val="0.24512316395233241"/>
          <c:h val="0.176601473202946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65E-2"/>
          <c:w val="0.689993805122189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Лист1!$B$133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solidFill>
              <a:srgbClr val="FF4F4F"/>
            </a:solidFill>
          </c:spPr>
          <c:invertIfNegative val="0"/>
          <c:cat>
            <c:strRef>
              <c:f>Лист1!$C$132:$E$132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Лист1!$C$133:$E$133</c:f>
              <c:numCache>
                <c:formatCode>General</c:formatCode>
                <c:ptCount val="3"/>
                <c:pt idx="0">
                  <c:v>29.71</c:v>
                </c:pt>
                <c:pt idx="1">
                  <c:v>16.68</c:v>
                </c:pt>
                <c:pt idx="2">
                  <c:v>19.95</c:v>
                </c:pt>
              </c:numCache>
            </c:numRef>
          </c:val>
        </c:ser>
        <c:ser>
          <c:idx val="1"/>
          <c:order val="1"/>
          <c:tx>
            <c:strRef>
              <c:f>Лист1!$B$134</c:f>
              <c:strCache>
                <c:ptCount val="1"/>
                <c:pt idx="0">
                  <c:v>Група порівняння</c:v>
                </c:pt>
              </c:strCache>
            </c:strRef>
          </c:tx>
          <c:spPr>
            <a:solidFill>
              <a:srgbClr val="33CAFF"/>
            </a:solidFill>
          </c:spPr>
          <c:invertIfNegative val="0"/>
          <c:cat>
            <c:strRef>
              <c:f>Лист1!$C$132:$E$132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Лист1!$C$134:$E$134</c:f>
              <c:numCache>
                <c:formatCode>General</c:formatCode>
                <c:ptCount val="3"/>
                <c:pt idx="0">
                  <c:v>29.69</c:v>
                </c:pt>
                <c:pt idx="1">
                  <c:v>18.920000000000002</c:v>
                </c:pt>
                <c:pt idx="2">
                  <c:v>26.919999999999987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106816"/>
        <c:axId val="143108352"/>
        <c:axId val="0"/>
      </c:bar3DChart>
      <c:catAx>
        <c:axId val="143106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108352"/>
        <c:crosses val="autoZero"/>
        <c:auto val="1"/>
        <c:lblAlgn val="ctr"/>
        <c:lblOffset val="100"/>
        <c:noMultiLvlLbl val="0"/>
      </c:catAx>
      <c:valAx>
        <c:axId val="14310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10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7290230025589"/>
          <c:y val="0.37064339098375182"/>
          <c:w val="0.24512316395233241"/>
          <c:h val="0.176601473202946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65E-2"/>
          <c:w val="0.689993805122189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Лист1!$B$156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solidFill>
              <a:srgbClr val="FF4F4F"/>
            </a:solidFill>
          </c:spPr>
          <c:invertIfNegative val="0"/>
          <c:cat>
            <c:strRef>
              <c:f>Лист1!$C$155:$E$155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Лист1!$C$156:$E$156</c:f>
              <c:numCache>
                <c:formatCode>General</c:formatCode>
                <c:ptCount val="3"/>
                <c:pt idx="0">
                  <c:v>30.419999999999987</c:v>
                </c:pt>
                <c:pt idx="1">
                  <c:v>14.41</c:v>
                </c:pt>
                <c:pt idx="2">
                  <c:v>18.690000000000001</c:v>
                </c:pt>
              </c:numCache>
            </c:numRef>
          </c:val>
        </c:ser>
        <c:ser>
          <c:idx val="1"/>
          <c:order val="1"/>
          <c:tx>
            <c:strRef>
              <c:f>Лист1!$B$157</c:f>
              <c:strCache>
                <c:ptCount val="1"/>
                <c:pt idx="0">
                  <c:v>Група порівняння</c:v>
                </c:pt>
              </c:strCache>
            </c:strRef>
          </c:tx>
          <c:spPr>
            <a:solidFill>
              <a:srgbClr val="33CAFF"/>
            </a:solidFill>
          </c:spPr>
          <c:invertIfNegative val="0"/>
          <c:cat>
            <c:strRef>
              <c:f>Лист1!$C$155:$E$155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Лист1!$C$157:$E$157</c:f>
              <c:numCache>
                <c:formatCode>General</c:formatCode>
                <c:ptCount val="3"/>
                <c:pt idx="0">
                  <c:v>30.41</c:v>
                </c:pt>
                <c:pt idx="1">
                  <c:v>19.649999999999999</c:v>
                </c:pt>
                <c:pt idx="2">
                  <c:v>26.310000000000031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268864"/>
        <c:axId val="143274752"/>
        <c:axId val="0"/>
      </c:bar3DChart>
      <c:catAx>
        <c:axId val="143268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274752"/>
        <c:crosses val="autoZero"/>
        <c:auto val="1"/>
        <c:lblAlgn val="ctr"/>
        <c:lblOffset val="100"/>
        <c:noMultiLvlLbl val="0"/>
      </c:catAx>
      <c:valAx>
        <c:axId val="14327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268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7290230025589"/>
          <c:y val="0.37064339098375182"/>
          <c:w val="0.24512316395233241"/>
          <c:h val="0.176601473202946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77116447400586E-2"/>
          <c:y val="4.2141301252299465E-2"/>
          <c:w val="0.689993805122189"/>
          <c:h val="0.83980295718167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Лист1!$B$173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Лист1!$C$172:$E$172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Лист1!$C$173:$E$173</c:f>
              <c:numCache>
                <c:formatCode>General</c:formatCode>
                <c:ptCount val="3"/>
                <c:pt idx="0">
                  <c:v>6.25</c:v>
                </c:pt>
                <c:pt idx="1">
                  <c:v>2.79</c:v>
                </c:pt>
                <c:pt idx="2">
                  <c:v>3.92</c:v>
                </c:pt>
              </c:numCache>
            </c:numRef>
          </c:val>
        </c:ser>
        <c:ser>
          <c:idx val="1"/>
          <c:order val="1"/>
          <c:tx>
            <c:strRef>
              <c:f>Лист1!$B$174</c:f>
              <c:strCache>
                <c:ptCount val="1"/>
                <c:pt idx="0">
                  <c:v>Група порівняння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Лист1!$C$172:$E$172</c:f>
              <c:strCache>
                <c:ptCount val="3"/>
                <c:pt idx="0">
                  <c:v>До лікування</c:v>
                </c:pt>
                <c:pt idx="1">
                  <c:v>Через 3 місяця</c:v>
                </c:pt>
                <c:pt idx="2">
                  <c:v>В кінці лікування</c:v>
                </c:pt>
              </c:strCache>
            </c:strRef>
          </c:cat>
          <c:val>
            <c:numRef>
              <c:f>Лист1!$C$174:$E$174</c:f>
              <c:numCache>
                <c:formatCode>General</c:formatCode>
                <c:ptCount val="3"/>
                <c:pt idx="0">
                  <c:v>6.23</c:v>
                </c:pt>
                <c:pt idx="1">
                  <c:v>3.4899999999999998</c:v>
                </c:pt>
                <c:pt idx="2">
                  <c:v>4.92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300480"/>
        <c:axId val="143302016"/>
        <c:axId val="0"/>
      </c:bar3DChart>
      <c:catAx>
        <c:axId val="143300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302016"/>
        <c:crosses val="autoZero"/>
        <c:auto val="1"/>
        <c:lblAlgn val="ctr"/>
        <c:lblOffset val="100"/>
        <c:noMultiLvlLbl val="0"/>
      </c:catAx>
      <c:valAx>
        <c:axId val="14330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30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17290230025589"/>
          <c:y val="0.37064339098375182"/>
          <c:w val="0.24512316395233241"/>
          <c:h val="0.176601473202946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lumMod val="100000"/>
            <a:alpha val="0"/>
          </a:schemeClr>
        </a:gs>
        <a:gs pos="100000">
          <a:schemeClr val="accent1">
            <a:tint val="23500"/>
            <a:satMod val="160000"/>
            <a:alpha val="5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A73C5-0406-4CD0-B6CC-41B4D745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170</Pages>
  <Words>43014</Words>
  <Characters>245180</Characters>
  <Application>Microsoft Office Word</Application>
  <DocSecurity>0</DocSecurity>
  <Lines>2043</Lines>
  <Paragraphs>575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Юляша</cp:lastModifiedBy>
  <cp:revision>2</cp:revision>
  <cp:lastPrinted>2017-06-26T04:03:00Z</cp:lastPrinted>
  <dcterms:created xsi:type="dcterms:W3CDTF">2017-06-26T07:23:00Z</dcterms:created>
  <dcterms:modified xsi:type="dcterms:W3CDTF">2017-06-26T07:23:00Z</dcterms:modified>
</cp:coreProperties>
</file>