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EE" w:rsidRPr="006053EE" w:rsidRDefault="006053EE" w:rsidP="009B19C9">
      <w:pPr>
        <w:jc w:val="center"/>
        <w:rPr>
          <w:rFonts w:ascii="Times New Roman" w:eastAsiaTheme="minorHAnsi" w:hAnsi="Times New Roman"/>
          <w:sz w:val="28"/>
          <w:szCs w:val="28"/>
          <w:lang w:val="uk-UA"/>
        </w:rPr>
      </w:pPr>
      <w:r w:rsidRPr="006053EE">
        <w:rPr>
          <w:rFonts w:ascii="Times New Roman" w:eastAsiaTheme="minorHAnsi" w:hAnsi="Times New Roman"/>
          <w:sz w:val="28"/>
          <w:szCs w:val="28"/>
          <w:lang w:val="uk-UA"/>
        </w:rPr>
        <w:t>Міністерство охорони здоров’я України</w:t>
      </w:r>
    </w:p>
    <w:p w:rsidR="006053EE" w:rsidRPr="006053EE" w:rsidRDefault="006053EE" w:rsidP="006053EE">
      <w:pPr>
        <w:jc w:val="center"/>
        <w:rPr>
          <w:rFonts w:ascii="Times New Roman" w:eastAsiaTheme="minorHAnsi" w:hAnsi="Times New Roman"/>
          <w:sz w:val="28"/>
          <w:szCs w:val="28"/>
          <w:lang w:val="uk-UA"/>
        </w:rPr>
      </w:pPr>
      <w:r w:rsidRPr="006053EE">
        <w:rPr>
          <w:rFonts w:ascii="Times New Roman" w:eastAsiaTheme="minorHAnsi" w:hAnsi="Times New Roman"/>
          <w:sz w:val="28"/>
          <w:szCs w:val="28"/>
          <w:lang w:val="uk-UA"/>
        </w:rPr>
        <w:t>Харківський національний медичний університет</w:t>
      </w: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center"/>
        <w:rPr>
          <w:rFonts w:ascii="Times New Roman" w:eastAsiaTheme="minorHAnsi" w:hAnsi="Times New Roman"/>
          <w:sz w:val="28"/>
          <w:szCs w:val="28"/>
          <w:lang w:val="ru-RU"/>
        </w:rPr>
      </w:pPr>
    </w:p>
    <w:p w:rsidR="006053EE" w:rsidRPr="006053EE" w:rsidRDefault="006053EE" w:rsidP="006053EE">
      <w:pPr>
        <w:jc w:val="center"/>
        <w:rPr>
          <w:rFonts w:ascii="Times New Roman" w:eastAsiaTheme="minorHAnsi" w:hAnsi="Times New Roman"/>
          <w:sz w:val="28"/>
          <w:szCs w:val="28"/>
          <w:lang w:val="uk-UA"/>
        </w:rPr>
      </w:pPr>
      <w:r w:rsidRPr="006053EE">
        <w:rPr>
          <w:rFonts w:ascii="Times New Roman" w:eastAsiaTheme="minorHAnsi" w:hAnsi="Times New Roman"/>
          <w:sz w:val="28"/>
          <w:szCs w:val="28"/>
          <w:lang w:val="uk-UA"/>
        </w:rPr>
        <w:t>КРИВЕНКО ЛЮДМИЛА СТАНІСЛАВІВНА</w:t>
      </w: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right"/>
        <w:rPr>
          <w:rFonts w:ascii="Times New Roman" w:eastAsiaTheme="minorHAnsi" w:hAnsi="Times New Roman"/>
          <w:sz w:val="28"/>
          <w:szCs w:val="28"/>
          <w:lang w:val="ru-RU"/>
        </w:rPr>
      </w:pPr>
      <w:r w:rsidRPr="006053EE">
        <w:rPr>
          <w:rFonts w:ascii="Times New Roman" w:eastAsiaTheme="minorHAnsi" w:hAnsi="Times New Roman"/>
          <w:sz w:val="28"/>
          <w:szCs w:val="28"/>
          <w:lang w:val="uk-UA"/>
        </w:rPr>
        <w:t>УДК</w:t>
      </w:r>
      <w:r w:rsidRPr="006053EE">
        <w:rPr>
          <w:rFonts w:ascii="Times New Roman" w:eastAsiaTheme="minorHAnsi" w:hAnsi="Times New Roman"/>
          <w:sz w:val="28"/>
          <w:szCs w:val="28"/>
          <w:lang w:val="ru-RU"/>
        </w:rPr>
        <w:t xml:space="preserve"> 616.311.2-002-053.2-07-084:616.5-002:616.248:616.211-002</w:t>
      </w: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center"/>
        <w:rPr>
          <w:rFonts w:ascii="Times New Roman" w:eastAsiaTheme="minorHAnsi" w:hAnsi="Times New Roman"/>
          <w:sz w:val="28"/>
          <w:szCs w:val="28"/>
          <w:lang w:val="uk-UA"/>
        </w:rPr>
      </w:pPr>
      <w:r w:rsidRPr="006053EE">
        <w:rPr>
          <w:rFonts w:ascii="Times New Roman" w:eastAsiaTheme="minorHAnsi" w:hAnsi="Times New Roman"/>
          <w:sz w:val="28"/>
          <w:szCs w:val="28"/>
          <w:lang w:val="uk-UA"/>
        </w:rPr>
        <w:t>ГІНГІВІТ У ДІТЕЙ З АТОПІЧНИМИ ЗАХВОРЮВАННЯМИ</w:t>
      </w:r>
    </w:p>
    <w:p w:rsidR="006053EE" w:rsidRPr="006053EE" w:rsidRDefault="006053EE" w:rsidP="006053EE">
      <w:pPr>
        <w:jc w:val="center"/>
        <w:rPr>
          <w:rFonts w:ascii="Times New Roman" w:eastAsiaTheme="minorHAnsi" w:hAnsi="Times New Roman"/>
          <w:sz w:val="28"/>
          <w:szCs w:val="28"/>
          <w:lang w:val="uk-UA"/>
        </w:rPr>
      </w:pPr>
      <w:r w:rsidRPr="006053EE">
        <w:rPr>
          <w:rFonts w:ascii="Times New Roman" w:eastAsiaTheme="minorHAnsi" w:hAnsi="Times New Roman"/>
          <w:sz w:val="28"/>
          <w:szCs w:val="28"/>
          <w:lang w:val="uk-UA"/>
        </w:rPr>
        <w:t>(КЛІНІКА, ДІАГНОСТИКА, ПРОФІЛАКТИКА ТА ЛІКУВАННЯ)</w:t>
      </w: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center"/>
        <w:rPr>
          <w:rFonts w:ascii="Times New Roman" w:eastAsiaTheme="minorHAnsi" w:hAnsi="Times New Roman"/>
          <w:sz w:val="28"/>
          <w:szCs w:val="28"/>
          <w:lang w:val="uk-UA"/>
        </w:rPr>
      </w:pPr>
      <w:r w:rsidRPr="006053EE">
        <w:rPr>
          <w:rFonts w:ascii="Times New Roman" w:eastAsiaTheme="minorHAnsi" w:hAnsi="Times New Roman"/>
          <w:sz w:val="28"/>
          <w:szCs w:val="28"/>
          <w:lang w:val="uk-UA"/>
        </w:rPr>
        <w:t>14.01.22 – стоматологія</w:t>
      </w: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center"/>
        <w:rPr>
          <w:rFonts w:ascii="Times New Roman" w:eastAsiaTheme="minorHAnsi" w:hAnsi="Times New Roman"/>
          <w:sz w:val="28"/>
          <w:szCs w:val="28"/>
          <w:lang w:val="uk-UA"/>
        </w:rPr>
      </w:pPr>
    </w:p>
    <w:p w:rsidR="006053EE" w:rsidRPr="006053EE" w:rsidRDefault="006053EE" w:rsidP="006053EE">
      <w:pPr>
        <w:jc w:val="center"/>
        <w:rPr>
          <w:rFonts w:ascii="Times New Roman" w:eastAsiaTheme="minorHAnsi" w:hAnsi="Times New Roman"/>
          <w:sz w:val="28"/>
          <w:szCs w:val="28"/>
          <w:lang w:val="uk-UA"/>
        </w:rPr>
      </w:pPr>
      <w:r w:rsidRPr="006053EE">
        <w:rPr>
          <w:rFonts w:ascii="Times New Roman" w:eastAsiaTheme="minorHAnsi" w:hAnsi="Times New Roman"/>
          <w:sz w:val="28"/>
          <w:szCs w:val="28"/>
          <w:lang w:val="uk-UA"/>
        </w:rPr>
        <w:t>Автореферат</w:t>
      </w:r>
    </w:p>
    <w:p w:rsidR="006053EE" w:rsidRPr="006053EE" w:rsidRDefault="006053EE" w:rsidP="006053EE">
      <w:pPr>
        <w:jc w:val="center"/>
        <w:rPr>
          <w:rFonts w:ascii="Times New Roman" w:eastAsiaTheme="minorHAnsi" w:hAnsi="Times New Roman"/>
          <w:sz w:val="28"/>
          <w:szCs w:val="28"/>
          <w:lang w:val="uk-UA"/>
        </w:rPr>
      </w:pPr>
      <w:r w:rsidRPr="006053EE">
        <w:rPr>
          <w:rFonts w:ascii="Times New Roman" w:eastAsiaTheme="minorHAnsi" w:hAnsi="Times New Roman"/>
          <w:sz w:val="28"/>
          <w:szCs w:val="28"/>
          <w:lang w:val="uk-UA"/>
        </w:rPr>
        <w:t xml:space="preserve">дисертації на здобуття наукового ступеня </w:t>
      </w:r>
    </w:p>
    <w:p w:rsidR="006053EE" w:rsidRPr="006053EE" w:rsidRDefault="006053EE" w:rsidP="006053EE">
      <w:pPr>
        <w:jc w:val="center"/>
        <w:rPr>
          <w:rFonts w:ascii="Times New Roman" w:eastAsiaTheme="minorHAnsi" w:hAnsi="Times New Roman"/>
          <w:sz w:val="28"/>
          <w:szCs w:val="28"/>
          <w:lang w:val="uk-UA"/>
        </w:rPr>
      </w:pPr>
      <w:r w:rsidRPr="006053EE">
        <w:rPr>
          <w:rFonts w:ascii="Times New Roman" w:eastAsiaTheme="minorHAnsi" w:hAnsi="Times New Roman"/>
          <w:sz w:val="28"/>
          <w:szCs w:val="28"/>
          <w:lang w:val="uk-UA"/>
        </w:rPr>
        <w:t>доктора медичних наук</w:t>
      </w:r>
    </w:p>
    <w:p w:rsidR="006053EE" w:rsidRPr="006053EE" w:rsidRDefault="006053EE" w:rsidP="006053EE">
      <w:pPr>
        <w:jc w:val="center"/>
        <w:rPr>
          <w:rFonts w:ascii="Times New Roman" w:eastAsiaTheme="minorHAnsi" w:hAnsi="Times New Roman"/>
          <w:sz w:val="28"/>
          <w:szCs w:val="28"/>
          <w:lang w:val="uk-UA"/>
        </w:rPr>
      </w:pPr>
    </w:p>
    <w:p w:rsidR="006053EE" w:rsidRDefault="006053EE" w:rsidP="006053EE">
      <w:pPr>
        <w:jc w:val="center"/>
        <w:rPr>
          <w:rFonts w:ascii="Times New Roman" w:eastAsiaTheme="minorHAnsi" w:hAnsi="Times New Roman"/>
          <w:sz w:val="28"/>
          <w:szCs w:val="28"/>
          <w:lang w:val="uk-UA"/>
        </w:rPr>
      </w:pPr>
    </w:p>
    <w:p w:rsidR="006053EE" w:rsidRPr="006053EE" w:rsidRDefault="006053EE" w:rsidP="006053EE">
      <w:pPr>
        <w:rPr>
          <w:rFonts w:ascii="Times New Roman" w:eastAsiaTheme="minorHAnsi" w:hAnsi="Times New Roman"/>
          <w:sz w:val="28"/>
          <w:szCs w:val="28"/>
          <w:lang w:val="uk-UA"/>
        </w:rPr>
      </w:pPr>
    </w:p>
    <w:p w:rsidR="00A27E8D" w:rsidRDefault="00A27E8D" w:rsidP="00A27E8D">
      <w:pPr>
        <w:jc w:val="center"/>
        <w:rPr>
          <w:rFonts w:ascii="Times New Roman" w:eastAsiaTheme="minorHAnsi" w:hAnsi="Times New Roman"/>
          <w:sz w:val="28"/>
          <w:szCs w:val="28"/>
          <w:lang w:val="uk-UA"/>
        </w:rPr>
      </w:pPr>
    </w:p>
    <w:p w:rsidR="005F6DE6" w:rsidRPr="00A27E8D" w:rsidRDefault="00A27E8D" w:rsidP="00A27E8D">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Харків 2018</w:t>
      </w:r>
    </w:p>
    <w:p w:rsidR="00945ED1" w:rsidRDefault="00945ED1"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lastRenderedPageBreak/>
        <w:t>Дисертацією є рукопис</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Робота виконана у Харківському національному медичному університеті МОЗ України</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bookmarkStart w:id="0" w:name="_GoBack"/>
      <w:r w:rsidRPr="006053EE">
        <w:rPr>
          <w:rFonts w:ascii="Times New Roman" w:eastAsia="Times New Roman" w:hAnsi="Times New Roman" w:cstheme="minorBidi"/>
          <w:b/>
          <w:sz w:val="28"/>
          <w:szCs w:val="28"/>
          <w:lang w:val="uk-UA" w:eastAsia="ru-RU"/>
        </w:rPr>
        <w:t>Науковий консультант:</w:t>
      </w:r>
      <w:r w:rsidRPr="006053EE">
        <w:rPr>
          <w:rFonts w:ascii="Times New Roman" w:eastAsia="Times New Roman" w:hAnsi="Times New Roman" w:cstheme="minorBidi"/>
          <w:sz w:val="28"/>
          <w:szCs w:val="28"/>
          <w:lang w:val="uk-UA" w:eastAsia="ru-RU"/>
        </w:rPr>
        <w:t xml:space="preserve"> </w:t>
      </w:r>
    </w:p>
    <w:p w:rsidR="006053EE" w:rsidRPr="006053EE" w:rsidRDefault="006053EE" w:rsidP="006053EE">
      <w:pPr>
        <w:spacing w:after="0" w:line="240" w:lineRule="auto"/>
        <w:jc w:val="both"/>
        <w:rPr>
          <w:rFonts w:ascii="Times New Roman" w:eastAsia="Times New Roman" w:hAnsi="Times New Roman" w:cstheme="minorBidi"/>
          <w:b/>
          <w:bCs/>
          <w:sz w:val="28"/>
          <w:szCs w:val="28"/>
          <w:lang w:val="uk-UA" w:eastAsia="ru-RU"/>
        </w:rPr>
      </w:pPr>
      <w:r w:rsidRPr="006053EE">
        <w:rPr>
          <w:rFonts w:ascii="Times New Roman" w:eastAsia="Times New Roman" w:hAnsi="Times New Roman" w:cstheme="minorBidi"/>
          <w:sz w:val="28"/>
          <w:szCs w:val="28"/>
          <w:lang w:val="uk-UA" w:eastAsia="ru-RU"/>
        </w:rPr>
        <w:t xml:space="preserve">доктор медичних наук, професор </w:t>
      </w:r>
      <w:r w:rsidRPr="006053EE">
        <w:rPr>
          <w:rFonts w:ascii="Times New Roman" w:eastAsia="Times New Roman" w:hAnsi="Times New Roman" w:cstheme="minorBidi"/>
          <w:b/>
          <w:bCs/>
          <w:sz w:val="28"/>
          <w:szCs w:val="28"/>
          <w:lang w:val="uk-UA" w:eastAsia="ru-RU"/>
        </w:rPr>
        <w:t xml:space="preserve">Назарян Розана Степанівна, </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bCs/>
          <w:sz w:val="28"/>
          <w:szCs w:val="28"/>
          <w:lang w:val="uk-UA" w:eastAsia="ru-RU"/>
        </w:rPr>
        <w:t>Харківський національний медичний університет</w:t>
      </w:r>
      <w:r w:rsidRPr="006053EE">
        <w:rPr>
          <w:rFonts w:ascii="Times New Roman" w:eastAsia="Times New Roman" w:hAnsi="Times New Roman" w:cstheme="minorBidi"/>
          <w:sz w:val="28"/>
          <w:szCs w:val="28"/>
          <w:lang w:val="uk-UA" w:eastAsia="ru-RU"/>
        </w:rPr>
        <w:t xml:space="preserve"> МОЗ України, завідувач кафедри стоматології дитячого віку, дитячої щелепно-лицевої хірургії та імплантології. </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b/>
          <w:sz w:val="28"/>
          <w:szCs w:val="28"/>
          <w:lang w:val="uk-UA" w:eastAsia="ru-RU"/>
        </w:rPr>
      </w:pPr>
      <w:r w:rsidRPr="006053EE">
        <w:rPr>
          <w:rFonts w:ascii="Times New Roman" w:eastAsia="Times New Roman" w:hAnsi="Times New Roman" w:cstheme="minorBidi"/>
          <w:b/>
          <w:sz w:val="28"/>
          <w:szCs w:val="28"/>
          <w:lang w:val="uk-UA" w:eastAsia="ru-RU"/>
        </w:rPr>
        <w:t>Офіційні опоненти:</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 xml:space="preserve">доктор медичних наук, професор </w:t>
      </w:r>
      <w:r w:rsidRPr="006053EE">
        <w:rPr>
          <w:rFonts w:ascii="Times New Roman" w:eastAsia="Times New Roman" w:hAnsi="Times New Roman" w:cstheme="minorBidi"/>
          <w:b/>
          <w:sz w:val="28"/>
          <w:szCs w:val="28"/>
          <w:lang w:val="uk-UA" w:eastAsia="ru-RU"/>
        </w:rPr>
        <w:t>Каськова Людмила Федорівна</w:t>
      </w:r>
      <w:r w:rsidRPr="006053EE">
        <w:rPr>
          <w:rFonts w:ascii="Times New Roman" w:eastAsia="Times New Roman" w:hAnsi="Times New Roman" w:cstheme="minorBidi"/>
          <w:sz w:val="28"/>
          <w:szCs w:val="28"/>
          <w:lang w:val="uk-UA" w:eastAsia="ru-RU"/>
        </w:rPr>
        <w:t xml:space="preserve">, </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ВДНЗУ «Українська медична стоматологічна академія» МОЗ України, м.Полтава, завідувач кафедри дитячої терапевтичної стоматології з профілактикою стоматологічних захворювань</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 xml:space="preserve">доктор медичних наук, професор </w:t>
      </w:r>
      <w:r w:rsidRPr="006053EE">
        <w:rPr>
          <w:rFonts w:ascii="Times New Roman" w:eastAsia="Times New Roman" w:hAnsi="Times New Roman" w:cstheme="minorBidi"/>
          <w:b/>
          <w:sz w:val="28"/>
          <w:szCs w:val="28"/>
          <w:lang w:val="uk-UA" w:eastAsia="ru-RU"/>
        </w:rPr>
        <w:t>Савичук Олександр Васильович</w:t>
      </w:r>
      <w:r w:rsidRPr="006053EE">
        <w:rPr>
          <w:rFonts w:ascii="Times New Roman" w:eastAsia="Times New Roman" w:hAnsi="Times New Roman" w:cstheme="minorBidi"/>
          <w:sz w:val="28"/>
          <w:szCs w:val="28"/>
          <w:lang w:val="uk-UA" w:eastAsia="ru-RU"/>
        </w:rPr>
        <w:t xml:space="preserve">, </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 xml:space="preserve">Національний медичний університет імені О.О. Богомольця МОЗ України, м.Київ, завідувач кафедри дитячої терапевтичної стоматології та профілактики стоматологічних захворювань </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 xml:space="preserve">доктор медичних наук, професор </w:t>
      </w:r>
      <w:r w:rsidRPr="006053EE">
        <w:rPr>
          <w:rFonts w:ascii="Times New Roman" w:eastAsia="Times New Roman" w:hAnsi="Times New Roman" w:cstheme="minorBidi"/>
          <w:b/>
          <w:sz w:val="28"/>
          <w:szCs w:val="28"/>
          <w:lang w:val="uk-UA" w:eastAsia="ru-RU"/>
        </w:rPr>
        <w:t>Ковач Ілона Василівна</w:t>
      </w:r>
      <w:r w:rsidRPr="006053EE">
        <w:rPr>
          <w:rFonts w:ascii="Times New Roman" w:eastAsia="Times New Roman" w:hAnsi="Times New Roman" w:cstheme="minorBidi"/>
          <w:sz w:val="28"/>
          <w:szCs w:val="28"/>
          <w:lang w:val="uk-UA" w:eastAsia="ru-RU"/>
        </w:rPr>
        <w:t xml:space="preserve">, </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 xml:space="preserve">ДЗ «Дніпропетровська медична академія МОЗ України», м.Дніпро, завідувач кафедри дитячої терапевтичної стоматології </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sz w:val="28"/>
          <w:szCs w:val="28"/>
          <w:lang w:val="ru-RU" w:eastAsia="ru-RU"/>
        </w:rPr>
      </w:pPr>
      <w:r w:rsidRPr="006053EE">
        <w:rPr>
          <w:rFonts w:ascii="Times New Roman" w:eastAsia="Times New Roman" w:hAnsi="Times New Roman" w:cstheme="minorBidi"/>
          <w:sz w:val="28"/>
          <w:szCs w:val="28"/>
          <w:lang w:val="uk-UA" w:eastAsia="ru-RU"/>
        </w:rPr>
        <w:t>Захи</w:t>
      </w:r>
      <w:r w:rsidR="00B04236">
        <w:rPr>
          <w:rFonts w:ascii="Times New Roman" w:eastAsia="Times New Roman" w:hAnsi="Times New Roman" w:cstheme="minorBidi"/>
          <w:sz w:val="28"/>
          <w:szCs w:val="28"/>
          <w:lang w:val="uk-UA" w:eastAsia="ru-RU"/>
        </w:rPr>
        <w:t>ст дисертації відбудеться 27 березня 2018 р. о 10.00</w:t>
      </w:r>
      <w:r w:rsidRPr="006053EE">
        <w:rPr>
          <w:rFonts w:ascii="Times New Roman" w:eastAsia="Times New Roman" w:hAnsi="Times New Roman" w:cstheme="minorBidi"/>
          <w:sz w:val="28"/>
          <w:szCs w:val="28"/>
          <w:lang w:val="uk-UA" w:eastAsia="ru-RU"/>
        </w:rPr>
        <w:t xml:space="preserve"> годині на засіданні спеціалізованої вченої ради Д 64.600.02 при</w:t>
      </w:r>
      <w:r w:rsidRPr="006053EE">
        <w:rPr>
          <w:rFonts w:ascii="Times New Roman" w:eastAsia="Times New Roman" w:hAnsi="Times New Roman" w:cstheme="minorBidi"/>
          <w:bCs/>
          <w:sz w:val="28"/>
          <w:szCs w:val="28"/>
          <w:lang w:val="uk-UA" w:eastAsia="ru-RU"/>
        </w:rPr>
        <w:t xml:space="preserve"> Харківському національному медичному університеті</w:t>
      </w:r>
      <w:r w:rsidRPr="006053EE">
        <w:rPr>
          <w:rFonts w:ascii="Times New Roman" w:eastAsia="Times New Roman" w:hAnsi="Times New Roman" w:cstheme="minorBidi"/>
          <w:sz w:val="28"/>
          <w:szCs w:val="28"/>
          <w:lang w:val="uk-UA" w:eastAsia="ru-RU"/>
        </w:rPr>
        <w:t xml:space="preserve"> МОЗ України, за адресою: 61022, м. Харків, пр. Науки, 4; тел. (057) 7077327</w:t>
      </w:r>
      <w:r w:rsidRPr="006053EE">
        <w:rPr>
          <w:rFonts w:ascii="Times New Roman" w:eastAsia="Times New Roman" w:hAnsi="Times New Roman" w:cstheme="minorBidi"/>
          <w:sz w:val="28"/>
          <w:szCs w:val="28"/>
          <w:lang w:val="ru-RU" w:eastAsia="ru-RU"/>
        </w:rPr>
        <w:t>.</w:t>
      </w:r>
    </w:p>
    <w:bookmarkEnd w:id="0"/>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З дисертацією можна ознайомитись у бібліотеці</w:t>
      </w:r>
      <w:r w:rsidRPr="006053EE">
        <w:rPr>
          <w:rFonts w:ascii="Times New Roman" w:eastAsia="Times New Roman" w:hAnsi="Times New Roman" w:cstheme="minorBidi"/>
          <w:bCs/>
          <w:sz w:val="28"/>
          <w:szCs w:val="28"/>
          <w:lang w:val="uk-UA" w:eastAsia="ru-RU"/>
        </w:rPr>
        <w:t xml:space="preserve"> Харківського національного медичного університету</w:t>
      </w:r>
      <w:r w:rsidRPr="006053EE">
        <w:rPr>
          <w:rFonts w:ascii="Times New Roman" w:eastAsia="Times New Roman" w:hAnsi="Times New Roman" w:cstheme="minorBidi"/>
          <w:sz w:val="28"/>
          <w:szCs w:val="28"/>
          <w:lang w:val="uk-UA" w:eastAsia="ru-RU"/>
        </w:rPr>
        <w:t xml:space="preserve"> МОЗ України, за адресою: 61022, м. Харків, пр.Науки, 4.</w:t>
      </w: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p>
    <w:p w:rsidR="006053EE" w:rsidRDefault="00B04236" w:rsidP="006053EE">
      <w:pPr>
        <w:spacing w:after="0" w:line="240" w:lineRule="auto"/>
        <w:jc w:val="both"/>
        <w:rPr>
          <w:rFonts w:ascii="Times New Roman" w:eastAsia="Times New Roman" w:hAnsi="Times New Roman" w:cstheme="minorBidi"/>
          <w:sz w:val="28"/>
          <w:szCs w:val="28"/>
          <w:lang w:val="uk-UA" w:eastAsia="ru-RU"/>
        </w:rPr>
      </w:pPr>
      <w:r>
        <w:rPr>
          <w:rFonts w:ascii="Times New Roman" w:eastAsia="Times New Roman" w:hAnsi="Times New Roman" w:cstheme="minorBidi"/>
          <w:sz w:val="28"/>
          <w:szCs w:val="28"/>
          <w:lang w:val="uk-UA" w:eastAsia="ru-RU"/>
        </w:rPr>
        <w:t>Автореферат розісланий «26» лютого 2018 р.</w:t>
      </w:r>
    </w:p>
    <w:p w:rsidR="00B04236" w:rsidRPr="006053EE" w:rsidRDefault="00B04236" w:rsidP="006053EE">
      <w:pPr>
        <w:spacing w:after="0" w:line="240" w:lineRule="auto"/>
        <w:jc w:val="both"/>
        <w:rPr>
          <w:rFonts w:ascii="Times New Roman" w:eastAsia="Times New Roman" w:hAnsi="Times New Roman" w:cstheme="minorBidi"/>
          <w:sz w:val="28"/>
          <w:szCs w:val="28"/>
          <w:lang w:val="uk-UA" w:eastAsia="ru-RU"/>
        </w:rPr>
      </w:pPr>
    </w:p>
    <w:p w:rsidR="006053EE" w:rsidRPr="006053EE" w:rsidRDefault="006053EE" w:rsidP="006053EE">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 xml:space="preserve">Вчений секретар  </w:t>
      </w:r>
    </w:p>
    <w:p w:rsidR="006053EE" w:rsidRPr="006053EE" w:rsidRDefault="006053EE" w:rsidP="006053EE">
      <w:pPr>
        <w:spacing w:after="0" w:line="240" w:lineRule="auto"/>
        <w:jc w:val="both"/>
        <w:rPr>
          <w:rFonts w:ascii="Times New Roman" w:eastAsia="Times New Roman" w:hAnsi="Times New Roman" w:cstheme="minorBidi"/>
          <w:sz w:val="28"/>
          <w:szCs w:val="28"/>
          <w:lang w:val="ru-RU" w:eastAsia="ru-RU"/>
        </w:rPr>
      </w:pPr>
      <w:r w:rsidRPr="006053EE">
        <w:rPr>
          <w:rFonts w:ascii="Times New Roman" w:eastAsia="Times New Roman" w:hAnsi="Times New Roman" w:cstheme="minorBidi"/>
          <w:sz w:val="28"/>
          <w:szCs w:val="28"/>
          <w:lang w:val="uk-UA" w:eastAsia="ru-RU"/>
        </w:rPr>
        <w:t>спеціалізованої вченої ради</w:t>
      </w:r>
      <w:r w:rsidRPr="006053EE">
        <w:rPr>
          <w:rFonts w:ascii="Times New Roman" w:eastAsia="Times New Roman" w:hAnsi="Times New Roman" w:cstheme="minorBidi"/>
          <w:sz w:val="28"/>
          <w:szCs w:val="28"/>
          <w:lang w:val="ru-RU" w:eastAsia="ru-RU"/>
        </w:rPr>
        <w:t xml:space="preserve">, </w:t>
      </w:r>
    </w:p>
    <w:p w:rsidR="005F6DE6" w:rsidRPr="00945ED1" w:rsidRDefault="006053EE" w:rsidP="00945ED1">
      <w:pPr>
        <w:spacing w:after="0" w:line="240" w:lineRule="auto"/>
        <w:jc w:val="both"/>
        <w:rPr>
          <w:rFonts w:ascii="Times New Roman" w:eastAsia="Times New Roman" w:hAnsi="Times New Roman" w:cstheme="minorBidi"/>
          <w:sz w:val="28"/>
          <w:szCs w:val="28"/>
          <w:lang w:val="uk-UA" w:eastAsia="ru-RU"/>
        </w:rPr>
      </w:pPr>
      <w:r w:rsidRPr="006053EE">
        <w:rPr>
          <w:rFonts w:ascii="Times New Roman" w:eastAsia="Times New Roman" w:hAnsi="Times New Roman" w:cstheme="minorBidi"/>
          <w:sz w:val="28"/>
          <w:szCs w:val="28"/>
          <w:lang w:val="uk-UA" w:eastAsia="ru-RU"/>
        </w:rPr>
        <w:t xml:space="preserve">к. мед. н., доцент                             </w:t>
      </w:r>
      <w:r w:rsidRPr="006053EE">
        <w:rPr>
          <w:rFonts w:ascii="Times New Roman" w:eastAsia="Times New Roman" w:hAnsi="Times New Roman" w:cstheme="minorBidi"/>
          <w:sz w:val="28"/>
          <w:szCs w:val="28"/>
          <w:lang w:val="ru-RU" w:eastAsia="ru-RU"/>
        </w:rPr>
        <w:t xml:space="preserve">                                 </w:t>
      </w:r>
      <w:r w:rsidRPr="006053EE">
        <w:rPr>
          <w:rFonts w:ascii="Times New Roman" w:eastAsia="Times New Roman" w:hAnsi="Times New Roman" w:cstheme="minorBidi"/>
          <w:sz w:val="28"/>
          <w:szCs w:val="28"/>
          <w:lang w:val="uk-UA" w:eastAsia="ru-RU"/>
        </w:rPr>
        <w:t xml:space="preserve">                   </w:t>
      </w:r>
      <w:r w:rsidRPr="006053EE">
        <w:rPr>
          <w:rFonts w:ascii="Times New Roman" w:eastAsia="Times New Roman" w:hAnsi="Times New Roman" w:cstheme="minorBidi"/>
          <w:sz w:val="28"/>
          <w:szCs w:val="28"/>
          <w:lang w:val="ru-RU" w:eastAsia="ru-RU"/>
        </w:rPr>
        <w:t xml:space="preserve">           </w:t>
      </w:r>
      <w:r w:rsidRPr="006053EE">
        <w:rPr>
          <w:rFonts w:ascii="Times New Roman" w:eastAsia="Times New Roman" w:hAnsi="Times New Roman" w:cstheme="minorBidi"/>
          <w:sz w:val="28"/>
          <w:szCs w:val="28"/>
          <w:lang w:val="uk-UA" w:eastAsia="ru-RU"/>
        </w:rPr>
        <w:t>Т. Г. Хмиз</w:t>
      </w:r>
    </w:p>
    <w:p w:rsidR="00945ED1" w:rsidRDefault="00945ED1" w:rsidP="006721D7">
      <w:pPr>
        <w:spacing w:after="0" w:line="240" w:lineRule="auto"/>
        <w:jc w:val="center"/>
        <w:rPr>
          <w:rFonts w:ascii="Times New Roman" w:hAnsi="Times New Roman"/>
          <w:b/>
          <w:sz w:val="28"/>
          <w:szCs w:val="28"/>
          <w:lang w:val="uk-UA"/>
        </w:rPr>
      </w:pPr>
    </w:p>
    <w:p w:rsidR="00945ED1" w:rsidRDefault="00945ED1" w:rsidP="006721D7">
      <w:pPr>
        <w:spacing w:after="0" w:line="240" w:lineRule="auto"/>
        <w:jc w:val="center"/>
        <w:rPr>
          <w:rFonts w:ascii="Times New Roman" w:hAnsi="Times New Roman"/>
          <w:b/>
          <w:sz w:val="28"/>
          <w:szCs w:val="28"/>
          <w:lang w:val="uk-UA"/>
        </w:rPr>
        <w:sectPr w:rsidR="00945ED1" w:rsidSect="004D500C">
          <w:headerReference w:type="even" r:id="rId9"/>
          <w:headerReference w:type="first" r:id="rId10"/>
          <w:pgSz w:w="12240" w:h="15840"/>
          <w:pgMar w:top="1134" w:right="851" w:bottom="1134" w:left="1701" w:header="720" w:footer="720" w:gutter="0"/>
          <w:pgNumType w:start="0"/>
          <w:cols w:space="720"/>
          <w:docGrid w:linePitch="360"/>
        </w:sectPr>
      </w:pPr>
    </w:p>
    <w:p w:rsidR="002E56F9" w:rsidRPr="00DD39D0" w:rsidRDefault="00E267F9" w:rsidP="006721D7">
      <w:pPr>
        <w:spacing w:after="0" w:line="240" w:lineRule="auto"/>
        <w:jc w:val="center"/>
        <w:rPr>
          <w:rFonts w:ascii="Times New Roman" w:hAnsi="Times New Roman"/>
          <w:b/>
          <w:sz w:val="28"/>
          <w:szCs w:val="28"/>
          <w:lang w:val="uk-UA"/>
        </w:rPr>
      </w:pPr>
      <w:r w:rsidRPr="00DD39D0">
        <w:rPr>
          <w:rFonts w:ascii="Times New Roman" w:hAnsi="Times New Roman"/>
          <w:b/>
          <w:sz w:val="28"/>
          <w:szCs w:val="28"/>
          <w:lang w:val="uk-UA"/>
        </w:rPr>
        <w:lastRenderedPageBreak/>
        <w:t>ЗАГАЛЬНА ХАРАКТЕРИСТИКА РОБОТИ</w:t>
      </w:r>
    </w:p>
    <w:p w:rsidR="00DD39D0" w:rsidRPr="00DD39D0" w:rsidRDefault="00DD39D0" w:rsidP="006721D7">
      <w:pPr>
        <w:spacing w:after="0" w:line="240" w:lineRule="auto"/>
        <w:jc w:val="center"/>
        <w:rPr>
          <w:rFonts w:ascii="Times New Roman" w:hAnsi="Times New Roman"/>
          <w:b/>
          <w:sz w:val="28"/>
          <w:szCs w:val="28"/>
          <w:lang w:val="uk-UA"/>
        </w:rPr>
      </w:pPr>
    </w:p>
    <w:p w:rsidR="00E267F9" w:rsidRPr="00DD39D0" w:rsidRDefault="00E267F9" w:rsidP="006721D7">
      <w:pPr>
        <w:spacing w:after="0" w:line="240" w:lineRule="auto"/>
        <w:ind w:firstLine="709"/>
        <w:jc w:val="both"/>
        <w:rPr>
          <w:rFonts w:ascii="Times New Roman" w:hAnsi="Times New Roman"/>
          <w:noProof/>
          <w:sz w:val="28"/>
          <w:szCs w:val="28"/>
          <w:lang w:val="uk-UA"/>
        </w:rPr>
      </w:pPr>
      <w:r w:rsidRPr="00DD39D0">
        <w:rPr>
          <w:rFonts w:ascii="Times New Roman" w:hAnsi="Times New Roman"/>
          <w:b/>
          <w:sz w:val="28"/>
          <w:szCs w:val="28"/>
          <w:lang w:val="uk-UA"/>
        </w:rPr>
        <w:t>Актуальність дослідження.</w:t>
      </w:r>
      <w:r w:rsidRPr="00DD39D0">
        <w:rPr>
          <w:rFonts w:ascii="Times New Roman" w:hAnsi="Times New Roman"/>
          <w:sz w:val="28"/>
          <w:szCs w:val="28"/>
          <w:lang w:val="uk-UA"/>
        </w:rPr>
        <w:t xml:space="preserve"> Згідно з дослідженнями провідних науковців, поширеність таких стоматологічних захворювань, як гінгівіт та пародонтит, серед дитячого населен</w:t>
      </w:r>
      <w:r w:rsidR="00DB0C13">
        <w:rPr>
          <w:rFonts w:ascii="Times New Roman" w:hAnsi="Times New Roman"/>
          <w:sz w:val="28"/>
          <w:szCs w:val="28"/>
          <w:lang w:val="uk-UA"/>
        </w:rPr>
        <w:t>ня не має тенденції до зниження</w:t>
      </w:r>
      <w:r w:rsidRPr="00DD39D0">
        <w:rPr>
          <w:rFonts w:ascii="Times New Roman" w:hAnsi="Times New Roman"/>
          <w:sz w:val="28"/>
          <w:szCs w:val="28"/>
          <w:lang w:val="uk-UA"/>
        </w:rPr>
        <w:t xml:space="preserve">. Останнім часом спостерігається істотне зростання частоти </w:t>
      </w:r>
      <w:r w:rsidR="00DB0C13">
        <w:rPr>
          <w:rFonts w:ascii="Times New Roman" w:hAnsi="Times New Roman"/>
          <w:sz w:val="28"/>
          <w:szCs w:val="28"/>
          <w:lang w:val="uk-UA"/>
        </w:rPr>
        <w:t>захворювань пародонту</w:t>
      </w:r>
      <w:r w:rsidRPr="00DD39D0">
        <w:rPr>
          <w:rFonts w:ascii="Times New Roman" w:hAnsi="Times New Roman"/>
          <w:sz w:val="28"/>
          <w:szCs w:val="28"/>
          <w:lang w:val="uk-UA"/>
        </w:rPr>
        <w:t xml:space="preserve"> у осіб молодого віку. Поширеність гінгівіту і пародонтиту </w:t>
      </w:r>
      <w:r w:rsidR="00DB0C13">
        <w:rPr>
          <w:rFonts w:ascii="Times New Roman" w:hAnsi="Times New Roman"/>
          <w:sz w:val="28"/>
          <w:szCs w:val="28"/>
          <w:lang w:val="uk-UA"/>
        </w:rPr>
        <w:t xml:space="preserve">досягає рівня 97 </w:t>
      </w:r>
      <w:r w:rsidRPr="00DD39D0">
        <w:rPr>
          <w:rFonts w:ascii="Times New Roman" w:hAnsi="Times New Roman"/>
          <w:sz w:val="28"/>
          <w:szCs w:val="28"/>
          <w:lang w:val="uk-UA"/>
        </w:rPr>
        <w:t xml:space="preserve">% </w:t>
      </w:r>
      <w:r w:rsidR="00DB0C13" w:rsidRPr="00DD39D0">
        <w:rPr>
          <w:rFonts w:ascii="Times New Roman" w:hAnsi="Times New Roman"/>
          <w:sz w:val="28"/>
          <w:szCs w:val="28"/>
          <w:lang w:val="uk-UA"/>
        </w:rPr>
        <w:t xml:space="preserve">серед дітей та підлітків </w:t>
      </w:r>
      <w:r w:rsidR="004F46D2" w:rsidRPr="004F46D2">
        <w:rPr>
          <w:rFonts w:ascii="Times New Roman" w:hAnsi="Times New Roman"/>
          <w:noProof/>
          <w:sz w:val="28"/>
          <w:szCs w:val="28"/>
          <w:lang w:val="uk-UA"/>
        </w:rPr>
        <w:t>(</w:t>
      </w:r>
      <w:r w:rsidR="00603887" w:rsidRPr="00DD39D0">
        <w:rPr>
          <w:rFonts w:ascii="Times New Roman" w:hAnsi="Times New Roman"/>
          <w:noProof/>
          <w:sz w:val="28"/>
          <w:szCs w:val="28"/>
          <w:lang w:val="uk-UA"/>
        </w:rPr>
        <w:t>Каськова Л.Ф., 2014; Ковач І.В., 2016</w:t>
      </w:r>
      <w:r w:rsidR="004F46D2">
        <w:rPr>
          <w:rFonts w:ascii="Times New Roman" w:hAnsi="Times New Roman"/>
          <w:noProof/>
          <w:sz w:val="28"/>
          <w:szCs w:val="28"/>
          <w:lang w:val="uk-UA"/>
        </w:rPr>
        <w:t>)</w:t>
      </w:r>
      <w:r w:rsidRPr="00DD39D0">
        <w:rPr>
          <w:rFonts w:ascii="Times New Roman" w:hAnsi="Times New Roman"/>
          <w:sz w:val="28"/>
          <w:szCs w:val="28"/>
          <w:lang w:val="uk-UA"/>
        </w:rPr>
        <w:t>. За даними Всесвітньо</w:t>
      </w:r>
      <w:r w:rsidR="00603887" w:rsidRPr="00DD39D0">
        <w:rPr>
          <w:rFonts w:ascii="Times New Roman" w:hAnsi="Times New Roman"/>
          <w:sz w:val="28"/>
          <w:szCs w:val="28"/>
          <w:lang w:val="uk-UA"/>
        </w:rPr>
        <w:t>ї</w:t>
      </w:r>
      <w:r w:rsidRPr="00DD39D0">
        <w:rPr>
          <w:rFonts w:ascii="Times New Roman" w:hAnsi="Times New Roman"/>
          <w:sz w:val="28"/>
          <w:szCs w:val="28"/>
          <w:lang w:val="uk-UA"/>
        </w:rPr>
        <w:t xml:space="preserve"> організації охорони здоров’я, поширеність гінгівіту у європейській популяції дітей 10-12 років складає 80%, а 14-річних дітей – 100%. У США поширеність гінгівіту становить близько 38% у віці 6-11 років, а у віці 12-17 років сягає 62-68%, в Іспанії поширеність гінгівітом теж є достатньо високою та ск</w:t>
      </w:r>
      <w:r w:rsidR="00DB0C13">
        <w:rPr>
          <w:rFonts w:ascii="Times New Roman" w:hAnsi="Times New Roman"/>
          <w:sz w:val="28"/>
          <w:szCs w:val="28"/>
          <w:lang w:val="uk-UA"/>
        </w:rPr>
        <w:t>л</w:t>
      </w:r>
      <w:r w:rsidRPr="00DD39D0">
        <w:rPr>
          <w:rFonts w:ascii="Times New Roman" w:hAnsi="Times New Roman"/>
          <w:sz w:val="28"/>
          <w:szCs w:val="28"/>
          <w:lang w:val="uk-UA"/>
        </w:rPr>
        <w:t xml:space="preserve">адає 77% </w:t>
      </w:r>
      <w:r w:rsidR="004F46D2">
        <w:rPr>
          <w:rFonts w:ascii="Times New Roman" w:hAnsi="Times New Roman"/>
          <w:noProof/>
          <w:sz w:val="28"/>
          <w:szCs w:val="28"/>
          <w:lang w:val="uk-UA"/>
        </w:rPr>
        <w:t>(</w:t>
      </w:r>
      <w:r w:rsidR="00303B9E">
        <w:rPr>
          <w:rFonts w:ascii="Times New Roman" w:hAnsi="Times New Roman"/>
          <w:noProof/>
          <w:sz w:val="28"/>
          <w:szCs w:val="28"/>
          <w:lang w:val="uk-UA"/>
        </w:rPr>
        <w:t>Малий Д.Ю., 2013</w:t>
      </w:r>
      <w:r w:rsidR="004F46D2">
        <w:rPr>
          <w:rFonts w:ascii="Times New Roman" w:hAnsi="Times New Roman"/>
          <w:noProof/>
          <w:sz w:val="28"/>
          <w:szCs w:val="28"/>
          <w:lang w:val="uk-UA"/>
        </w:rPr>
        <w:t>)</w:t>
      </w:r>
      <w:r w:rsidRPr="00DD39D0">
        <w:rPr>
          <w:rFonts w:ascii="Times New Roman" w:hAnsi="Times New Roman"/>
          <w:sz w:val="28"/>
          <w:szCs w:val="28"/>
          <w:lang w:val="uk-UA"/>
        </w:rPr>
        <w:t>.</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Аналіз клінічних і експериментальних даних свідчить про те, що найбільш частим захворюванням пародонту, особливо у дітей, є гінгівіт з перевагою хронічного катарального гінгівіту (80 – 85% серед усіх захворювань пародонту) </w:t>
      </w:r>
      <w:r w:rsidR="004F46D2">
        <w:rPr>
          <w:rFonts w:ascii="Times New Roman" w:hAnsi="Times New Roman"/>
          <w:noProof/>
          <w:sz w:val="28"/>
          <w:szCs w:val="28"/>
          <w:lang w:val="uk-UA"/>
        </w:rPr>
        <w:t>(</w:t>
      </w:r>
      <w:r w:rsidR="00303B9E" w:rsidRPr="00DD39D0">
        <w:rPr>
          <w:rFonts w:ascii="Times New Roman" w:hAnsi="Times New Roman"/>
          <w:noProof/>
          <w:sz w:val="28"/>
          <w:szCs w:val="28"/>
          <w:lang w:val="uk-UA"/>
        </w:rPr>
        <w:t>Савичук О.В., 2010</w:t>
      </w:r>
      <w:r w:rsidR="00303B9E">
        <w:rPr>
          <w:rFonts w:ascii="Times New Roman" w:hAnsi="Times New Roman"/>
          <w:noProof/>
          <w:sz w:val="28"/>
          <w:szCs w:val="28"/>
          <w:lang w:val="uk-UA"/>
        </w:rPr>
        <w:t xml:space="preserve">; </w:t>
      </w:r>
      <w:r w:rsidR="00603887" w:rsidRPr="00DD39D0">
        <w:rPr>
          <w:rFonts w:ascii="Times New Roman" w:hAnsi="Times New Roman"/>
          <w:noProof/>
          <w:sz w:val="28"/>
          <w:szCs w:val="28"/>
          <w:lang w:val="uk-UA"/>
        </w:rPr>
        <w:t>Смоляр Н.І., 2013; Опанасенко О.О., 2011</w:t>
      </w:r>
      <w:r w:rsidR="004F46D2">
        <w:rPr>
          <w:rFonts w:ascii="Times New Roman" w:hAnsi="Times New Roman"/>
          <w:noProof/>
          <w:sz w:val="28"/>
          <w:szCs w:val="28"/>
          <w:lang w:val="uk-UA"/>
        </w:rPr>
        <w:t>)</w:t>
      </w:r>
      <w:r w:rsidRPr="00DD39D0">
        <w:rPr>
          <w:rFonts w:ascii="Times New Roman" w:hAnsi="Times New Roman"/>
          <w:sz w:val="28"/>
          <w:szCs w:val="28"/>
          <w:lang w:val="uk-UA"/>
        </w:rPr>
        <w:t xml:space="preserve">. </w:t>
      </w:r>
      <w:r w:rsidR="00DB0C13">
        <w:rPr>
          <w:rFonts w:ascii="Times New Roman" w:hAnsi="Times New Roman"/>
          <w:sz w:val="28"/>
          <w:szCs w:val="28"/>
          <w:lang w:val="uk-UA"/>
        </w:rPr>
        <w:t xml:space="preserve">На сьогоднішній день </w:t>
      </w:r>
      <w:r w:rsidR="002808DD">
        <w:rPr>
          <w:rFonts w:ascii="Times New Roman" w:hAnsi="Times New Roman"/>
          <w:sz w:val="28"/>
          <w:szCs w:val="28"/>
          <w:lang w:val="uk-UA"/>
        </w:rPr>
        <w:t xml:space="preserve">встановлено, що </w:t>
      </w:r>
      <w:r w:rsidR="00DB0C13">
        <w:rPr>
          <w:rFonts w:ascii="Times New Roman" w:hAnsi="Times New Roman"/>
          <w:sz w:val="28"/>
          <w:szCs w:val="28"/>
          <w:lang w:val="uk-UA"/>
        </w:rPr>
        <w:t xml:space="preserve">гінгівіт </w:t>
      </w:r>
      <w:r w:rsidRPr="00DD39D0">
        <w:rPr>
          <w:rFonts w:ascii="Times New Roman" w:hAnsi="Times New Roman"/>
          <w:sz w:val="28"/>
          <w:szCs w:val="28"/>
          <w:lang w:val="uk-UA"/>
        </w:rPr>
        <w:t>може протікати як самостійна нозологічна одиниця, так і бути симптомом пародонтиту</w:t>
      </w:r>
      <w:r w:rsidR="00DB0C13">
        <w:rPr>
          <w:rFonts w:ascii="Times New Roman" w:hAnsi="Times New Roman"/>
          <w:sz w:val="28"/>
          <w:szCs w:val="28"/>
          <w:lang w:val="uk-UA"/>
        </w:rPr>
        <w:t xml:space="preserve"> </w:t>
      </w:r>
      <w:r w:rsidR="004F46D2">
        <w:rPr>
          <w:rFonts w:ascii="Times New Roman" w:hAnsi="Times New Roman"/>
          <w:sz w:val="28"/>
          <w:szCs w:val="28"/>
          <w:lang w:val="uk-UA"/>
        </w:rPr>
        <w:t>(</w:t>
      </w:r>
      <w:r w:rsidR="00DB0C13">
        <w:rPr>
          <w:rFonts w:ascii="Times New Roman" w:hAnsi="Times New Roman"/>
          <w:sz w:val="28"/>
          <w:szCs w:val="28"/>
          <w:lang w:val="uk-UA"/>
        </w:rPr>
        <w:t>Антоненко М.Ю., 2012</w:t>
      </w:r>
      <w:r w:rsidR="00D61330">
        <w:rPr>
          <w:rFonts w:ascii="Times New Roman" w:hAnsi="Times New Roman"/>
          <w:sz w:val="28"/>
          <w:szCs w:val="28"/>
          <w:lang w:val="uk-UA"/>
        </w:rPr>
        <w:t>; Хоменко Л.О., 2013</w:t>
      </w:r>
      <w:r w:rsidR="004F46D2">
        <w:rPr>
          <w:rFonts w:ascii="Times New Roman" w:hAnsi="Times New Roman"/>
          <w:sz w:val="28"/>
          <w:szCs w:val="28"/>
          <w:lang w:val="uk-UA"/>
        </w:rPr>
        <w:t>)</w:t>
      </w:r>
      <w:r w:rsidRPr="00DD39D0">
        <w:rPr>
          <w:rFonts w:ascii="Times New Roman" w:hAnsi="Times New Roman"/>
          <w:sz w:val="28"/>
          <w:szCs w:val="28"/>
          <w:lang w:val="uk-UA"/>
        </w:rPr>
        <w:t>.</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Якщо проаналізувати епідеміологію захворювань пародонту, а саме гінгівіту, серед дитячого контингенту, спостерігається чітка тенденція до зростання поширеності гінгівіту з віком, а також зрос</w:t>
      </w:r>
      <w:r w:rsidR="00AA17A0">
        <w:rPr>
          <w:rFonts w:ascii="Times New Roman" w:hAnsi="Times New Roman"/>
          <w:sz w:val="28"/>
          <w:szCs w:val="28"/>
          <w:lang w:val="uk-UA"/>
        </w:rPr>
        <w:t>тання його розповсюдженості</w:t>
      </w:r>
      <w:r w:rsidRPr="00DD39D0">
        <w:rPr>
          <w:rFonts w:ascii="Times New Roman" w:hAnsi="Times New Roman"/>
          <w:sz w:val="28"/>
          <w:szCs w:val="28"/>
          <w:lang w:val="uk-UA"/>
        </w:rPr>
        <w:t xml:space="preserve"> у дітей на тлі загальносоматичної патології </w:t>
      </w:r>
      <w:r w:rsidR="004F46D2">
        <w:rPr>
          <w:rFonts w:ascii="Times New Roman" w:hAnsi="Times New Roman"/>
          <w:noProof/>
          <w:sz w:val="28"/>
          <w:szCs w:val="28"/>
          <w:lang w:val="uk-UA"/>
        </w:rPr>
        <w:t>(</w:t>
      </w:r>
      <w:r w:rsidR="00603887" w:rsidRPr="00DD39D0">
        <w:rPr>
          <w:rFonts w:ascii="Times New Roman" w:hAnsi="Times New Roman"/>
          <w:noProof/>
          <w:sz w:val="28"/>
          <w:szCs w:val="28"/>
          <w:lang w:val="uk-UA"/>
        </w:rPr>
        <w:t>Савичук Н.О., 2010; Романенко О.Г., 2010</w:t>
      </w:r>
      <w:r w:rsidR="004F46D2">
        <w:rPr>
          <w:rFonts w:ascii="Times New Roman" w:hAnsi="Times New Roman"/>
          <w:noProof/>
          <w:sz w:val="28"/>
          <w:szCs w:val="28"/>
          <w:lang w:val="uk-UA"/>
        </w:rPr>
        <w:t>)</w:t>
      </w:r>
      <w:r w:rsidRPr="00DD39D0">
        <w:rPr>
          <w:rFonts w:ascii="Times New Roman" w:hAnsi="Times New Roman"/>
          <w:sz w:val="28"/>
          <w:szCs w:val="28"/>
          <w:lang w:val="uk-UA"/>
        </w:rPr>
        <w:t>. Важливим фактором є те, що гінгівіт, як правило, виявляється не на початковій стадії, а вже при наявності вираженої симптоматики</w:t>
      </w:r>
      <w:r w:rsidR="00DB0C13">
        <w:rPr>
          <w:rFonts w:ascii="Times New Roman" w:hAnsi="Times New Roman"/>
          <w:sz w:val="28"/>
          <w:szCs w:val="28"/>
          <w:lang w:val="uk-UA"/>
        </w:rPr>
        <w:t xml:space="preserve"> </w:t>
      </w:r>
      <w:r w:rsidR="004F46D2">
        <w:rPr>
          <w:rFonts w:ascii="Times New Roman" w:hAnsi="Times New Roman"/>
          <w:sz w:val="28"/>
          <w:szCs w:val="28"/>
          <w:lang w:val="ru-RU"/>
        </w:rPr>
        <w:t>(</w:t>
      </w:r>
      <w:r w:rsidR="00DB0C13">
        <w:rPr>
          <w:rFonts w:ascii="Times New Roman" w:hAnsi="Times New Roman"/>
          <w:sz w:val="28"/>
          <w:szCs w:val="28"/>
          <w:lang w:val="uk-UA"/>
        </w:rPr>
        <w:t>Проданчук А.І., 2012</w:t>
      </w:r>
      <w:r w:rsidR="004F46D2">
        <w:rPr>
          <w:rFonts w:ascii="Times New Roman" w:hAnsi="Times New Roman"/>
          <w:sz w:val="28"/>
          <w:szCs w:val="28"/>
          <w:lang w:val="ru-RU"/>
        </w:rPr>
        <w:t>)</w:t>
      </w:r>
      <w:r w:rsidRPr="00DD39D0">
        <w:rPr>
          <w:rFonts w:ascii="Times New Roman" w:hAnsi="Times New Roman"/>
          <w:sz w:val="28"/>
          <w:szCs w:val="28"/>
          <w:lang w:val="uk-UA"/>
        </w:rPr>
        <w:t xml:space="preserve">. </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Частота та тяжкість ураження пародонта значно вищі у дітей, обтяжених загальносоматичною патологією</w:t>
      </w:r>
      <w:r w:rsidRPr="00DD39D0">
        <w:rPr>
          <w:rFonts w:ascii="Times New Roman" w:hAnsi="Times New Roman"/>
          <w:sz w:val="28"/>
          <w:szCs w:val="28"/>
          <w:lang w:val="ru-RU"/>
        </w:rPr>
        <w:t xml:space="preserve">. </w:t>
      </w:r>
      <w:r w:rsidR="00AA17A0">
        <w:rPr>
          <w:rFonts w:ascii="Times New Roman" w:hAnsi="Times New Roman"/>
          <w:sz w:val="28"/>
          <w:szCs w:val="28"/>
          <w:lang w:val="uk-UA"/>
        </w:rPr>
        <w:t>Як свідчать наукові дослідження</w:t>
      </w:r>
      <w:r w:rsidRPr="00DD39D0">
        <w:rPr>
          <w:rFonts w:ascii="Times New Roman" w:hAnsi="Times New Roman"/>
          <w:sz w:val="28"/>
          <w:szCs w:val="28"/>
          <w:lang w:val="ru-RU"/>
        </w:rPr>
        <w:t xml:space="preserve">, </w:t>
      </w:r>
      <w:r w:rsidRPr="00DD39D0">
        <w:rPr>
          <w:rFonts w:ascii="Times New Roman" w:hAnsi="Times New Roman"/>
          <w:sz w:val="28"/>
          <w:szCs w:val="28"/>
          <w:lang w:val="uk-UA"/>
        </w:rPr>
        <w:t xml:space="preserve">приблизно у 36,4% дітей визначається спадкова схильність до алергічних захворювань </w:t>
      </w:r>
      <w:r w:rsidR="004F46D2">
        <w:rPr>
          <w:rFonts w:ascii="Times New Roman" w:hAnsi="Times New Roman"/>
          <w:noProof/>
          <w:sz w:val="28"/>
          <w:szCs w:val="28"/>
          <w:lang w:val="uk-UA"/>
        </w:rPr>
        <w:t>(</w:t>
      </w:r>
      <w:r w:rsidR="00603887" w:rsidRPr="00DD39D0">
        <w:rPr>
          <w:rFonts w:ascii="Times New Roman" w:hAnsi="Times New Roman"/>
          <w:noProof/>
          <w:sz w:val="28"/>
          <w:szCs w:val="28"/>
          <w:lang w:val="uk-UA"/>
        </w:rPr>
        <w:t>Балаболкін І.І., 2012; Беш Л.В., 2012; Паттерсон Р., 2010</w:t>
      </w:r>
      <w:r w:rsidR="004F46D2">
        <w:rPr>
          <w:rFonts w:ascii="Times New Roman" w:hAnsi="Times New Roman"/>
          <w:noProof/>
          <w:sz w:val="28"/>
          <w:szCs w:val="28"/>
          <w:lang w:val="uk-UA"/>
        </w:rPr>
        <w:t>)</w:t>
      </w:r>
      <w:r w:rsidRPr="00DD39D0">
        <w:rPr>
          <w:rFonts w:ascii="Times New Roman" w:hAnsi="Times New Roman"/>
          <w:sz w:val="28"/>
          <w:szCs w:val="28"/>
          <w:lang w:val="uk-UA"/>
        </w:rPr>
        <w:t xml:space="preserve">. Як відомо, розвиток алергічних, а саме атопічних, захворювань визначається особливостями генетично запрограмованої імунної відповіді на антиген під дією різних провокуючих факторів, які призводять до реалізації захворювання </w:t>
      </w:r>
      <w:r w:rsidR="004F46D2">
        <w:rPr>
          <w:rFonts w:ascii="Times New Roman" w:hAnsi="Times New Roman"/>
          <w:noProof/>
          <w:sz w:val="28"/>
          <w:szCs w:val="28"/>
          <w:lang w:val="uk-UA"/>
        </w:rPr>
        <w:t>(</w:t>
      </w:r>
      <w:r w:rsidR="00603887" w:rsidRPr="00DD39D0">
        <w:rPr>
          <w:rFonts w:ascii="Times New Roman" w:hAnsi="Times New Roman"/>
          <w:noProof/>
          <w:sz w:val="28"/>
          <w:szCs w:val="28"/>
          <w:lang w:val="uk-UA"/>
        </w:rPr>
        <w:t>Проценко Т.В., 2008;</w:t>
      </w:r>
      <w:r w:rsidR="00DF0D7B" w:rsidRPr="00DD39D0">
        <w:rPr>
          <w:rFonts w:ascii="Times New Roman" w:hAnsi="Times New Roman"/>
          <w:noProof/>
          <w:sz w:val="28"/>
          <w:szCs w:val="28"/>
          <w:lang w:val="uk-UA"/>
        </w:rPr>
        <w:t xml:space="preserve"> </w:t>
      </w:r>
      <w:r w:rsidR="00DF0D7B" w:rsidRPr="00DD39D0">
        <w:rPr>
          <w:rFonts w:ascii="Times New Roman" w:hAnsi="Times New Roman"/>
          <w:noProof/>
          <w:sz w:val="28"/>
          <w:szCs w:val="28"/>
        </w:rPr>
        <w:t>Hwang</w:t>
      </w:r>
      <w:r w:rsidR="00DF0D7B" w:rsidRPr="00DD39D0">
        <w:rPr>
          <w:rFonts w:ascii="Times New Roman" w:hAnsi="Times New Roman"/>
          <w:noProof/>
          <w:sz w:val="28"/>
          <w:szCs w:val="28"/>
          <w:lang w:val="uk-UA"/>
        </w:rPr>
        <w:t xml:space="preserve"> </w:t>
      </w:r>
      <w:r w:rsidR="00DF0D7B" w:rsidRPr="00DD39D0">
        <w:rPr>
          <w:rFonts w:ascii="Times New Roman" w:hAnsi="Times New Roman"/>
          <w:noProof/>
          <w:sz w:val="28"/>
          <w:szCs w:val="28"/>
        </w:rPr>
        <w:t>C</w:t>
      </w:r>
      <w:r w:rsidR="00DF0D7B" w:rsidRPr="00DD39D0">
        <w:rPr>
          <w:rFonts w:ascii="Times New Roman" w:hAnsi="Times New Roman"/>
          <w:noProof/>
          <w:sz w:val="28"/>
          <w:szCs w:val="28"/>
          <w:lang w:val="uk-UA"/>
        </w:rPr>
        <w:t>.</w:t>
      </w:r>
      <w:r w:rsidR="00DF0D7B" w:rsidRPr="00DD39D0">
        <w:rPr>
          <w:rFonts w:ascii="Times New Roman" w:hAnsi="Times New Roman"/>
          <w:noProof/>
          <w:sz w:val="28"/>
          <w:szCs w:val="28"/>
        </w:rPr>
        <w:t>Y</w:t>
      </w:r>
      <w:r w:rsidR="00DF0D7B" w:rsidRPr="00DD39D0">
        <w:rPr>
          <w:rFonts w:ascii="Times New Roman" w:hAnsi="Times New Roman"/>
          <w:noProof/>
          <w:sz w:val="28"/>
          <w:szCs w:val="28"/>
          <w:lang w:val="uk-UA"/>
        </w:rPr>
        <w:t>., 2010</w:t>
      </w:r>
      <w:r w:rsidR="004F46D2">
        <w:rPr>
          <w:rFonts w:ascii="Times New Roman" w:hAnsi="Times New Roman"/>
          <w:noProof/>
          <w:sz w:val="28"/>
          <w:szCs w:val="28"/>
          <w:lang w:val="uk-UA"/>
        </w:rPr>
        <w:t>)</w:t>
      </w:r>
      <w:r w:rsidRPr="00DD39D0">
        <w:rPr>
          <w:rFonts w:ascii="Times New Roman" w:hAnsi="Times New Roman"/>
          <w:sz w:val="28"/>
          <w:szCs w:val="28"/>
          <w:lang w:val="uk-UA"/>
        </w:rPr>
        <w:t>. Наведені дані обумовлюють актуальність пошуку шляхів ранньої діагностики та профілактики гінгівіту серед дітей на тлі соматичних захворювань, в тому числі атопічних.</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Дані досліджень останніх років вказують на те, що захворюванн</w:t>
      </w:r>
      <w:r w:rsidR="00303B9E">
        <w:rPr>
          <w:rFonts w:ascii="Times New Roman" w:hAnsi="Times New Roman"/>
          <w:sz w:val="28"/>
          <w:szCs w:val="28"/>
          <w:lang w:val="uk-UA"/>
        </w:rPr>
        <w:t>я пародонту є не тільки</w:t>
      </w:r>
      <w:r w:rsidRPr="00DD39D0">
        <w:rPr>
          <w:rFonts w:ascii="Times New Roman" w:hAnsi="Times New Roman"/>
          <w:sz w:val="28"/>
          <w:szCs w:val="28"/>
          <w:lang w:val="uk-UA"/>
        </w:rPr>
        <w:t xml:space="preserve"> медичною, але й соціальною проблемою, а підвищення ефективності лікування та профілактики даної патології залишається актуальним </w:t>
      </w:r>
      <w:r w:rsidR="004F46D2">
        <w:rPr>
          <w:rFonts w:ascii="Times New Roman" w:hAnsi="Times New Roman"/>
          <w:noProof/>
          <w:sz w:val="28"/>
          <w:szCs w:val="28"/>
          <w:lang w:val="uk-UA"/>
        </w:rPr>
        <w:t>(</w:t>
      </w:r>
      <w:r w:rsidR="00603887" w:rsidRPr="00DD39D0">
        <w:rPr>
          <w:rFonts w:ascii="Times New Roman" w:hAnsi="Times New Roman"/>
          <w:noProof/>
          <w:sz w:val="28"/>
          <w:szCs w:val="28"/>
          <w:lang w:val="uk-UA"/>
        </w:rPr>
        <w:t>Зубачик В.М., 2011</w:t>
      </w:r>
      <w:r w:rsidR="00DF0D7B" w:rsidRPr="00DD39D0">
        <w:rPr>
          <w:rFonts w:ascii="Times New Roman" w:hAnsi="Times New Roman"/>
          <w:noProof/>
          <w:sz w:val="28"/>
          <w:szCs w:val="28"/>
          <w:lang w:val="uk-UA"/>
        </w:rPr>
        <w:t>, Каськова Л.Ф., 2013</w:t>
      </w:r>
      <w:r w:rsidR="004F46D2">
        <w:rPr>
          <w:rFonts w:ascii="Times New Roman" w:hAnsi="Times New Roman"/>
          <w:noProof/>
          <w:sz w:val="28"/>
          <w:szCs w:val="28"/>
          <w:lang w:val="uk-UA"/>
        </w:rPr>
        <w:t>)</w:t>
      </w:r>
      <w:r w:rsidRPr="00DD39D0">
        <w:rPr>
          <w:rFonts w:ascii="Times New Roman" w:hAnsi="Times New Roman"/>
          <w:sz w:val="28"/>
          <w:szCs w:val="28"/>
          <w:lang w:val="uk-UA"/>
        </w:rPr>
        <w:t>.</w:t>
      </w:r>
    </w:p>
    <w:p w:rsidR="00E267F9" w:rsidRPr="00DD39D0" w:rsidRDefault="00AA17A0" w:rsidP="006721D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Аналіз сучасних досліджень вказує на те</w:t>
      </w:r>
      <w:r w:rsidR="00E267F9" w:rsidRPr="00DD39D0">
        <w:rPr>
          <w:rFonts w:ascii="Times New Roman" w:hAnsi="Times New Roman"/>
          <w:sz w:val="28"/>
          <w:szCs w:val="28"/>
          <w:lang w:val="uk-UA"/>
        </w:rPr>
        <w:t>,</w:t>
      </w:r>
      <w:r>
        <w:rPr>
          <w:rFonts w:ascii="Times New Roman" w:hAnsi="Times New Roman"/>
          <w:sz w:val="28"/>
          <w:szCs w:val="28"/>
          <w:lang w:val="uk-UA"/>
        </w:rPr>
        <w:t xml:space="preserve"> що</w:t>
      </w:r>
      <w:r w:rsidR="00E267F9" w:rsidRPr="00DD39D0">
        <w:rPr>
          <w:rFonts w:ascii="Times New Roman" w:hAnsi="Times New Roman"/>
          <w:sz w:val="28"/>
          <w:szCs w:val="28"/>
          <w:lang w:val="uk-UA"/>
        </w:rPr>
        <w:t xml:space="preserve"> значна увага приділяється вивченню епідеміології та найбільш значимих факторів ризику захворювань пародонту з метою подальшого створення ефективних програм профілактики. Однак, незважаючи на значну увагу вітчизняних та іноземних науковців, залишається недостатньо вивченою проблема</w:t>
      </w:r>
      <w:r w:rsidR="00F40353">
        <w:rPr>
          <w:rFonts w:ascii="Times New Roman" w:hAnsi="Times New Roman"/>
          <w:sz w:val="28"/>
          <w:szCs w:val="28"/>
          <w:lang w:val="uk-UA"/>
        </w:rPr>
        <w:t xml:space="preserve"> патогенезу</w:t>
      </w:r>
      <w:r>
        <w:rPr>
          <w:rFonts w:ascii="Times New Roman" w:hAnsi="Times New Roman"/>
          <w:sz w:val="28"/>
          <w:szCs w:val="28"/>
          <w:lang w:val="uk-UA"/>
        </w:rPr>
        <w:t xml:space="preserve"> захворювань пародонту</w:t>
      </w:r>
      <w:r w:rsidR="00E267F9" w:rsidRPr="00DD39D0">
        <w:rPr>
          <w:rFonts w:ascii="Times New Roman" w:hAnsi="Times New Roman"/>
          <w:sz w:val="28"/>
          <w:szCs w:val="28"/>
          <w:lang w:val="uk-UA"/>
        </w:rPr>
        <w:t xml:space="preserve"> у дітей та фактори ризику формування та прогресування гінгівіту у дітей на тлі атопічних захворювань. Визначення профілю ризиків, що сприяють розвитку та прогресуванню захворювань пародонту у дітей, визначення їх значимості від стану макроорганізму дозволять розробити індивідуалізовані програми лікування, що базуються на управлінні факторами та </w:t>
      </w:r>
      <w:r>
        <w:rPr>
          <w:rFonts w:ascii="Times New Roman" w:hAnsi="Times New Roman"/>
          <w:sz w:val="28"/>
          <w:szCs w:val="28"/>
          <w:lang w:val="uk-UA"/>
        </w:rPr>
        <w:t>визначенні маркерів</w:t>
      </w:r>
      <w:r w:rsidR="00E267F9" w:rsidRPr="00DD39D0">
        <w:rPr>
          <w:rFonts w:ascii="Times New Roman" w:hAnsi="Times New Roman"/>
          <w:sz w:val="28"/>
          <w:szCs w:val="28"/>
          <w:lang w:val="uk-UA"/>
        </w:rPr>
        <w:t xml:space="preserve"> ризику.</w:t>
      </w:r>
    </w:p>
    <w:p w:rsidR="00E267F9" w:rsidRPr="00AA17A0" w:rsidRDefault="00E267F9" w:rsidP="00AA17A0">
      <w:pPr>
        <w:spacing w:after="0" w:line="240" w:lineRule="auto"/>
        <w:ind w:firstLine="709"/>
        <w:jc w:val="both"/>
        <w:rPr>
          <w:rFonts w:ascii="Times New Roman" w:hAnsi="Times New Roman"/>
          <w:b/>
          <w:sz w:val="28"/>
          <w:szCs w:val="28"/>
          <w:lang w:val="uk-UA"/>
        </w:rPr>
      </w:pPr>
      <w:r w:rsidRPr="00DD39D0">
        <w:rPr>
          <w:rFonts w:ascii="Times New Roman" w:hAnsi="Times New Roman"/>
          <w:b/>
          <w:sz w:val="28"/>
          <w:szCs w:val="28"/>
          <w:lang w:val="uk-UA"/>
        </w:rPr>
        <w:t>Зв'язок роботи з науков</w:t>
      </w:r>
      <w:r w:rsidR="00AA17A0">
        <w:rPr>
          <w:rFonts w:ascii="Times New Roman" w:hAnsi="Times New Roman"/>
          <w:b/>
          <w:sz w:val="28"/>
          <w:szCs w:val="28"/>
          <w:lang w:val="uk-UA"/>
        </w:rPr>
        <w:t xml:space="preserve">ими програмами, планами, темами. </w:t>
      </w:r>
      <w:r w:rsidRPr="00DD39D0">
        <w:rPr>
          <w:rFonts w:ascii="Times New Roman" w:hAnsi="Times New Roman"/>
          <w:sz w:val="28"/>
          <w:szCs w:val="28"/>
          <w:lang w:val="uk-UA"/>
        </w:rPr>
        <w:t>Дисертаційна робота виконана в рамках науково-дослідної роботи Харківського національного медичного університету</w:t>
      </w:r>
      <w:r w:rsidR="00AA17A0">
        <w:rPr>
          <w:rFonts w:ascii="Times New Roman" w:hAnsi="Times New Roman"/>
          <w:sz w:val="28"/>
          <w:szCs w:val="28"/>
          <w:lang w:val="uk-UA"/>
        </w:rPr>
        <w:t xml:space="preserve"> </w:t>
      </w:r>
      <w:r w:rsidR="00AA17A0" w:rsidRPr="00DD39D0">
        <w:rPr>
          <w:rFonts w:ascii="Times New Roman" w:hAnsi="Times New Roman"/>
          <w:sz w:val="28"/>
          <w:szCs w:val="28"/>
          <w:lang w:val="uk-UA"/>
        </w:rPr>
        <w:t>«Діагностика та лікування захворювань органів та тканин щелепно-лицевої ділянки», державний реєстраційний номер 0113U002274, строк виконання 2013-2015</w:t>
      </w:r>
      <w:r w:rsidR="00AA17A0">
        <w:rPr>
          <w:rFonts w:ascii="Times New Roman" w:hAnsi="Times New Roman"/>
          <w:sz w:val="28"/>
          <w:szCs w:val="28"/>
          <w:lang w:val="uk-UA"/>
        </w:rPr>
        <w:t>, та</w:t>
      </w:r>
      <w:r w:rsidRPr="00DD39D0">
        <w:rPr>
          <w:rFonts w:ascii="Times New Roman" w:hAnsi="Times New Roman"/>
          <w:sz w:val="28"/>
          <w:szCs w:val="28"/>
          <w:lang w:val="uk-UA"/>
        </w:rPr>
        <w:t xml:space="preserve"> «Характер, структура та лікування основних стоматологічних захворювань», державний реєстраційний номер 0116U00497</w:t>
      </w:r>
      <w:r w:rsidR="00AA17A0">
        <w:rPr>
          <w:rFonts w:ascii="Times New Roman" w:hAnsi="Times New Roman"/>
          <w:sz w:val="28"/>
          <w:szCs w:val="28"/>
          <w:lang w:val="uk-UA"/>
        </w:rPr>
        <w:t>5, строк виконання 2016-2018</w:t>
      </w:r>
      <w:r w:rsidRPr="00DD39D0">
        <w:rPr>
          <w:rFonts w:ascii="Times New Roman" w:hAnsi="Times New Roman"/>
          <w:sz w:val="28"/>
          <w:szCs w:val="28"/>
          <w:lang w:val="uk-UA"/>
        </w:rPr>
        <w:t xml:space="preserve">. </w:t>
      </w:r>
    </w:p>
    <w:p w:rsidR="00E267F9" w:rsidRPr="00AA17A0" w:rsidRDefault="00AA17A0" w:rsidP="00AA17A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Мета дослідження</w:t>
      </w:r>
      <w:r w:rsidR="00CC3479">
        <w:rPr>
          <w:rFonts w:ascii="Times New Roman" w:hAnsi="Times New Roman"/>
          <w:sz w:val="28"/>
          <w:szCs w:val="28"/>
          <w:lang w:val="uk-UA"/>
        </w:rPr>
        <w:t>: розробка концептуально нової</w:t>
      </w:r>
      <w:r w:rsidR="00E267F9" w:rsidRPr="00DD39D0">
        <w:rPr>
          <w:rFonts w:ascii="Times New Roman" w:hAnsi="Times New Roman"/>
          <w:sz w:val="28"/>
          <w:szCs w:val="28"/>
          <w:lang w:val="uk-UA"/>
        </w:rPr>
        <w:t xml:space="preserve"> </w:t>
      </w:r>
      <w:r w:rsidR="00F40353">
        <w:rPr>
          <w:rFonts w:ascii="Times New Roman" w:hAnsi="Times New Roman"/>
          <w:sz w:val="28"/>
          <w:szCs w:val="28"/>
          <w:lang w:val="uk-UA"/>
        </w:rPr>
        <w:t>програми</w:t>
      </w:r>
      <w:r>
        <w:rPr>
          <w:rFonts w:ascii="Times New Roman" w:hAnsi="Times New Roman"/>
          <w:sz w:val="28"/>
          <w:szCs w:val="28"/>
          <w:lang w:val="uk-UA"/>
        </w:rPr>
        <w:t xml:space="preserve"> лікування та профілактики</w:t>
      </w:r>
      <w:r w:rsidR="00E267F9" w:rsidRPr="00DD39D0">
        <w:rPr>
          <w:rFonts w:ascii="Times New Roman" w:hAnsi="Times New Roman"/>
          <w:sz w:val="28"/>
          <w:szCs w:val="28"/>
          <w:lang w:val="uk-UA"/>
        </w:rPr>
        <w:t xml:space="preserve"> гінгівіту у дітей на тлі атопічних захворювань шляхом комплексного аналізу стоматологічного статусу, виявлення прогностичних біомаркерів ініціації </w:t>
      </w:r>
      <w:r>
        <w:rPr>
          <w:rFonts w:ascii="Times New Roman" w:hAnsi="Times New Roman"/>
          <w:sz w:val="28"/>
          <w:szCs w:val="28"/>
          <w:lang w:val="uk-UA"/>
        </w:rPr>
        <w:t xml:space="preserve">гінгівіту </w:t>
      </w:r>
      <w:r w:rsidR="00E267F9" w:rsidRPr="00DD39D0">
        <w:rPr>
          <w:rFonts w:ascii="Times New Roman" w:hAnsi="Times New Roman"/>
          <w:sz w:val="28"/>
          <w:szCs w:val="28"/>
          <w:lang w:val="uk-UA"/>
        </w:rPr>
        <w:t>та диференційованої корекції імунометаболічних ланок</w:t>
      </w:r>
      <w:r>
        <w:rPr>
          <w:rFonts w:ascii="Times New Roman" w:hAnsi="Times New Roman"/>
          <w:sz w:val="28"/>
          <w:szCs w:val="28"/>
          <w:lang w:val="uk-UA"/>
        </w:rPr>
        <w:t xml:space="preserve"> його</w:t>
      </w:r>
      <w:r w:rsidR="00E267F9" w:rsidRPr="00DD39D0">
        <w:rPr>
          <w:rFonts w:ascii="Times New Roman" w:hAnsi="Times New Roman"/>
          <w:sz w:val="28"/>
          <w:szCs w:val="28"/>
          <w:lang w:val="uk-UA"/>
        </w:rPr>
        <w:t xml:space="preserve"> патогенезу.</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Для досягнення мети вирішувалися наступні </w:t>
      </w:r>
      <w:r w:rsidRPr="00AA17A0">
        <w:rPr>
          <w:rFonts w:ascii="Times New Roman" w:hAnsi="Times New Roman"/>
          <w:b/>
          <w:sz w:val="28"/>
          <w:szCs w:val="28"/>
          <w:lang w:val="uk-UA"/>
        </w:rPr>
        <w:t>завдання:</w:t>
      </w:r>
    </w:p>
    <w:p w:rsidR="00E267F9" w:rsidRPr="00DD39D0" w:rsidRDefault="00E267F9" w:rsidP="006721D7">
      <w:pPr>
        <w:numPr>
          <w:ilvl w:val="1"/>
          <w:numId w:val="1"/>
        </w:num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Вивчити показники клінічного стоматологічного статусу у дітей з гі</w:t>
      </w:r>
      <w:r w:rsidR="00F40353">
        <w:rPr>
          <w:rFonts w:ascii="Times New Roman" w:hAnsi="Times New Roman"/>
          <w:sz w:val="28"/>
          <w:szCs w:val="28"/>
          <w:lang w:val="uk-UA"/>
        </w:rPr>
        <w:t>нгівітом та провідні</w:t>
      </w:r>
      <w:r w:rsidRPr="00DD39D0">
        <w:rPr>
          <w:rFonts w:ascii="Times New Roman" w:hAnsi="Times New Roman"/>
          <w:sz w:val="28"/>
          <w:szCs w:val="28"/>
          <w:lang w:val="uk-UA"/>
        </w:rPr>
        <w:t xml:space="preserve"> чинники розвитку гінгівіту у дітей на тлі атопічних захворювань</w:t>
      </w:r>
      <w:r w:rsidR="00303B9E">
        <w:rPr>
          <w:rFonts w:ascii="Times New Roman" w:hAnsi="Times New Roman"/>
          <w:sz w:val="28"/>
          <w:szCs w:val="28"/>
          <w:lang w:val="uk-UA"/>
        </w:rPr>
        <w:t>.</w:t>
      </w:r>
    </w:p>
    <w:p w:rsidR="00E267F9" w:rsidRPr="00DD39D0" w:rsidRDefault="0024773D" w:rsidP="0024773D">
      <w:pPr>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Провести моделювання атопічного</w:t>
      </w:r>
      <w:r w:rsidRPr="0024773D">
        <w:rPr>
          <w:rFonts w:ascii="Times New Roman" w:hAnsi="Times New Roman"/>
          <w:sz w:val="28"/>
          <w:szCs w:val="28"/>
          <w:lang w:val="uk-UA"/>
        </w:rPr>
        <w:t xml:space="preserve"> стан</w:t>
      </w:r>
      <w:r>
        <w:rPr>
          <w:rFonts w:ascii="Times New Roman" w:hAnsi="Times New Roman"/>
          <w:sz w:val="28"/>
          <w:szCs w:val="28"/>
          <w:lang w:val="uk-UA"/>
        </w:rPr>
        <w:t>у</w:t>
      </w:r>
      <w:r w:rsidRPr="0024773D">
        <w:rPr>
          <w:rFonts w:ascii="Times New Roman" w:hAnsi="Times New Roman"/>
          <w:sz w:val="28"/>
          <w:szCs w:val="28"/>
          <w:lang w:val="uk-UA"/>
        </w:rPr>
        <w:t xml:space="preserve"> на експериментальних тваринах для дослідження тканинних змін у пародонті та вивчення впливу запропонованих методів профілактики та лікування</w:t>
      </w:r>
      <w:r>
        <w:rPr>
          <w:rFonts w:ascii="Times New Roman" w:hAnsi="Times New Roman"/>
          <w:sz w:val="28"/>
          <w:szCs w:val="28"/>
          <w:lang w:val="uk-UA"/>
        </w:rPr>
        <w:t xml:space="preserve"> запальних захворювань пародонту</w:t>
      </w:r>
      <w:r w:rsidR="00303B9E">
        <w:rPr>
          <w:rFonts w:ascii="Times New Roman" w:hAnsi="Times New Roman"/>
          <w:sz w:val="28"/>
          <w:szCs w:val="28"/>
          <w:lang w:val="uk-UA"/>
        </w:rPr>
        <w:t>.</w:t>
      </w:r>
    </w:p>
    <w:p w:rsidR="00E267F9" w:rsidRPr="00DD39D0" w:rsidRDefault="00E267F9" w:rsidP="006721D7">
      <w:pPr>
        <w:numPr>
          <w:ilvl w:val="1"/>
          <w:numId w:val="1"/>
        </w:num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Запропонувати скринінгові методи діагностики захворювань пародонту у дітей на тлі атопічних захворювань на основі побудови прогностичної моделі методом регресійного аналізу даних клінічних, імунологічних та біохімічних досліджень ротової рідини</w:t>
      </w:r>
      <w:r w:rsidR="00303B9E">
        <w:rPr>
          <w:rFonts w:ascii="Times New Roman" w:hAnsi="Times New Roman"/>
          <w:sz w:val="28"/>
          <w:szCs w:val="28"/>
          <w:lang w:val="uk-UA"/>
        </w:rPr>
        <w:t>.</w:t>
      </w:r>
    </w:p>
    <w:p w:rsidR="00E267F9" w:rsidRPr="00DD39D0" w:rsidRDefault="00E267F9" w:rsidP="006721D7">
      <w:pPr>
        <w:numPr>
          <w:ilvl w:val="1"/>
          <w:numId w:val="1"/>
        </w:num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Виділити прогностичні біомаркери ініціації гінгівіту у пародонтологічно здорових дітей на основі дослідження ротової рідини</w:t>
      </w:r>
      <w:r w:rsidR="00670FBA">
        <w:rPr>
          <w:rFonts w:ascii="Times New Roman" w:hAnsi="Times New Roman"/>
          <w:sz w:val="28"/>
          <w:szCs w:val="28"/>
          <w:lang w:val="uk-UA"/>
        </w:rPr>
        <w:t>.</w:t>
      </w:r>
    </w:p>
    <w:p w:rsidR="00E267F9" w:rsidRPr="00DD39D0" w:rsidRDefault="00E267F9" w:rsidP="006721D7">
      <w:pPr>
        <w:numPr>
          <w:ilvl w:val="1"/>
          <w:numId w:val="1"/>
        </w:numPr>
        <w:spacing w:after="0" w:line="240" w:lineRule="auto"/>
        <w:jc w:val="both"/>
        <w:rPr>
          <w:rFonts w:ascii="Times New Roman" w:hAnsi="Times New Roman"/>
          <w:sz w:val="28"/>
          <w:szCs w:val="28"/>
          <w:lang w:val="uk-UA"/>
        </w:rPr>
      </w:pPr>
      <w:r w:rsidRPr="00DD39D0">
        <w:rPr>
          <w:rFonts w:ascii="Times New Roman" w:hAnsi="Times New Roman"/>
          <w:sz w:val="28"/>
          <w:szCs w:val="28"/>
          <w:lang w:val="ru-RU"/>
        </w:rPr>
        <w:t>Провести обстеження дітей з атопічними захворюваннями з метою виявлення факторів ризику та предикторів розвитку стоматологічних захворювань</w:t>
      </w:r>
      <w:r w:rsidR="00303B9E">
        <w:rPr>
          <w:rFonts w:ascii="Times New Roman" w:hAnsi="Times New Roman"/>
          <w:sz w:val="28"/>
          <w:szCs w:val="28"/>
          <w:lang w:val="ru-RU"/>
        </w:rPr>
        <w:t>.</w:t>
      </w:r>
    </w:p>
    <w:p w:rsidR="00E267F9" w:rsidRPr="00DD39D0" w:rsidRDefault="00E267F9" w:rsidP="006721D7">
      <w:pPr>
        <w:numPr>
          <w:ilvl w:val="1"/>
          <w:numId w:val="1"/>
        </w:num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lastRenderedPageBreak/>
        <w:t xml:space="preserve">Розробити та </w:t>
      </w:r>
      <w:r w:rsidR="00DF0D7B" w:rsidRPr="00DD39D0">
        <w:rPr>
          <w:rFonts w:ascii="Times New Roman" w:hAnsi="Times New Roman"/>
          <w:sz w:val="28"/>
          <w:szCs w:val="28"/>
          <w:lang w:val="uk-UA"/>
        </w:rPr>
        <w:t>обґрунтувати</w:t>
      </w:r>
      <w:r w:rsidR="00AA17A0">
        <w:rPr>
          <w:rFonts w:ascii="Times New Roman" w:hAnsi="Times New Roman"/>
          <w:sz w:val="28"/>
          <w:szCs w:val="28"/>
          <w:lang w:val="uk-UA"/>
        </w:rPr>
        <w:t xml:space="preserve"> диференційовані</w:t>
      </w:r>
      <w:r w:rsidRPr="00DD39D0">
        <w:rPr>
          <w:rFonts w:ascii="Times New Roman" w:hAnsi="Times New Roman"/>
          <w:sz w:val="28"/>
          <w:szCs w:val="28"/>
          <w:lang w:val="uk-UA"/>
        </w:rPr>
        <w:t xml:space="preserve"> л</w:t>
      </w:r>
      <w:r w:rsidR="001F41FE">
        <w:rPr>
          <w:rFonts w:ascii="Times New Roman" w:hAnsi="Times New Roman"/>
          <w:sz w:val="28"/>
          <w:szCs w:val="28"/>
          <w:lang w:val="uk-UA"/>
        </w:rPr>
        <w:t>ікувально-профілактичні</w:t>
      </w:r>
      <w:r w:rsidR="00AA17A0">
        <w:rPr>
          <w:rFonts w:ascii="Times New Roman" w:hAnsi="Times New Roman"/>
          <w:sz w:val="28"/>
          <w:szCs w:val="28"/>
          <w:lang w:val="uk-UA"/>
        </w:rPr>
        <w:t xml:space="preserve"> заходи</w:t>
      </w:r>
      <w:r w:rsidRPr="00DD39D0">
        <w:rPr>
          <w:rFonts w:ascii="Times New Roman" w:hAnsi="Times New Roman"/>
          <w:sz w:val="28"/>
          <w:szCs w:val="28"/>
          <w:lang w:val="uk-UA"/>
        </w:rPr>
        <w:t xml:space="preserve"> на основі патогенетичної корекції імунологічного статусу та корекції антиоксидантного дисбалансу у дітей на тлі атопічних захв</w:t>
      </w:r>
      <w:r w:rsidR="00DF0D7B" w:rsidRPr="00DD39D0">
        <w:rPr>
          <w:rFonts w:ascii="Times New Roman" w:hAnsi="Times New Roman"/>
          <w:sz w:val="28"/>
          <w:szCs w:val="28"/>
          <w:lang w:val="uk-UA"/>
        </w:rPr>
        <w:t>о</w:t>
      </w:r>
      <w:r w:rsidRPr="00DD39D0">
        <w:rPr>
          <w:rFonts w:ascii="Times New Roman" w:hAnsi="Times New Roman"/>
          <w:sz w:val="28"/>
          <w:szCs w:val="28"/>
          <w:lang w:val="uk-UA"/>
        </w:rPr>
        <w:t>рювань</w:t>
      </w:r>
      <w:r w:rsidR="00303B9E">
        <w:rPr>
          <w:rFonts w:ascii="Times New Roman" w:hAnsi="Times New Roman"/>
          <w:sz w:val="28"/>
          <w:szCs w:val="28"/>
          <w:lang w:val="uk-UA"/>
        </w:rPr>
        <w:t>.</w:t>
      </w:r>
    </w:p>
    <w:p w:rsidR="00E267F9" w:rsidRPr="00DD39D0" w:rsidRDefault="00DF0D7B" w:rsidP="006721D7">
      <w:pPr>
        <w:numPr>
          <w:ilvl w:val="1"/>
          <w:numId w:val="1"/>
        </w:num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Обґрунтувати</w:t>
      </w:r>
      <w:r w:rsidR="00E267F9" w:rsidRPr="00DD39D0">
        <w:rPr>
          <w:rFonts w:ascii="Times New Roman" w:hAnsi="Times New Roman"/>
          <w:sz w:val="28"/>
          <w:szCs w:val="28"/>
          <w:lang w:val="uk-UA"/>
        </w:rPr>
        <w:t xml:space="preserve">, впровадити та оцінити ефективність використання концептуально нової </w:t>
      </w:r>
      <w:r w:rsidR="00F40353">
        <w:rPr>
          <w:rFonts w:ascii="Times New Roman" w:hAnsi="Times New Roman"/>
          <w:sz w:val="28"/>
          <w:szCs w:val="28"/>
          <w:lang w:val="uk-UA"/>
        </w:rPr>
        <w:t>програми</w:t>
      </w:r>
      <w:r w:rsidR="00E267F9" w:rsidRPr="00DD39D0">
        <w:rPr>
          <w:rFonts w:ascii="Times New Roman" w:hAnsi="Times New Roman"/>
          <w:sz w:val="28"/>
          <w:szCs w:val="28"/>
          <w:lang w:val="uk-UA"/>
        </w:rPr>
        <w:t xml:space="preserve"> лікування та профілактики гінгівіту у дітей з атопічними захворюваннями з урахуванням виявлених змін клінічного, імунологічного та антиоксидантного статусу</w:t>
      </w:r>
      <w:r w:rsidR="00303B9E">
        <w:rPr>
          <w:rFonts w:ascii="Times New Roman" w:hAnsi="Times New Roman"/>
          <w:sz w:val="28"/>
          <w:szCs w:val="28"/>
          <w:lang w:val="uk-UA"/>
        </w:rPr>
        <w:t>.</w:t>
      </w:r>
    </w:p>
    <w:p w:rsidR="00E267F9" w:rsidRPr="00DD39D0" w:rsidRDefault="00E267F9" w:rsidP="006721D7">
      <w:pPr>
        <w:spacing w:after="0" w:line="240" w:lineRule="auto"/>
        <w:ind w:firstLine="709"/>
        <w:jc w:val="both"/>
        <w:rPr>
          <w:rFonts w:ascii="Times New Roman" w:hAnsi="Times New Roman"/>
          <w:sz w:val="28"/>
          <w:szCs w:val="28"/>
          <w:lang w:val="uk-UA"/>
        </w:rPr>
      </w:pPr>
      <w:r w:rsidRPr="00AA17A0">
        <w:rPr>
          <w:rFonts w:ascii="Times New Roman" w:hAnsi="Times New Roman"/>
          <w:i/>
          <w:sz w:val="28"/>
          <w:szCs w:val="28"/>
          <w:lang w:val="uk-UA"/>
        </w:rPr>
        <w:t>Об’єкт дослідження</w:t>
      </w:r>
      <w:r w:rsidRPr="00DD39D0">
        <w:rPr>
          <w:rFonts w:ascii="Times New Roman" w:hAnsi="Times New Roman"/>
          <w:sz w:val="28"/>
          <w:szCs w:val="28"/>
          <w:lang w:val="uk-UA"/>
        </w:rPr>
        <w:t>: запальні захворювання пародонту у діт</w:t>
      </w:r>
      <w:r w:rsidR="00AA17A0">
        <w:rPr>
          <w:rFonts w:ascii="Times New Roman" w:hAnsi="Times New Roman"/>
          <w:sz w:val="28"/>
          <w:szCs w:val="28"/>
          <w:lang w:val="uk-UA"/>
        </w:rPr>
        <w:t>ей на тлі атопічних захворювань.</w:t>
      </w:r>
    </w:p>
    <w:p w:rsidR="00E267F9" w:rsidRPr="00DD39D0" w:rsidRDefault="00E267F9" w:rsidP="006721D7">
      <w:pPr>
        <w:spacing w:after="0" w:line="240" w:lineRule="auto"/>
        <w:ind w:firstLine="709"/>
        <w:jc w:val="both"/>
        <w:rPr>
          <w:rFonts w:ascii="Times New Roman" w:hAnsi="Times New Roman"/>
          <w:sz w:val="28"/>
          <w:szCs w:val="28"/>
          <w:lang w:val="uk-UA"/>
        </w:rPr>
      </w:pPr>
      <w:r w:rsidRPr="00AA17A0">
        <w:rPr>
          <w:rFonts w:ascii="Times New Roman" w:hAnsi="Times New Roman"/>
          <w:i/>
          <w:sz w:val="28"/>
          <w:szCs w:val="28"/>
          <w:lang w:val="uk-UA"/>
        </w:rPr>
        <w:t>Предмет дослідження</w:t>
      </w:r>
      <w:r w:rsidRPr="00DD39D0">
        <w:rPr>
          <w:rFonts w:ascii="Times New Roman" w:hAnsi="Times New Roman"/>
          <w:sz w:val="28"/>
          <w:szCs w:val="28"/>
          <w:lang w:val="uk-UA"/>
        </w:rPr>
        <w:t xml:space="preserve">: клінічний стоматологічний статус, імунометаболічні властивості ротової рідини, букальний епітей </w:t>
      </w:r>
      <w:r w:rsidR="00F40353">
        <w:rPr>
          <w:rFonts w:ascii="Times New Roman" w:hAnsi="Times New Roman"/>
          <w:sz w:val="28"/>
          <w:szCs w:val="28"/>
          <w:lang w:val="uk-UA"/>
        </w:rPr>
        <w:t xml:space="preserve">у дітей на тлі атопічних захворювань </w:t>
      </w:r>
      <w:r w:rsidRPr="00DD39D0">
        <w:rPr>
          <w:rFonts w:ascii="Times New Roman" w:hAnsi="Times New Roman"/>
          <w:sz w:val="28"/>
          <w:szCs w:val="28"/>
          <w:lang w:val="uk-UA"/>
        </w:rPr>
        <w:t>до та після використання розроблених лікувально-профілактичних заходів.</w:t>
      </w:r>
    </w:p>
    <w:p w:rsidR="00E267F9" w:rsidRPr="00DD39D0" w:rsidRDefault="00E267F9" w:rsidP="006721D7">
      <w:pPr>
        <w:spacing w:after="0" w:line="240" w:lineRule="auto"/>
        <w:ind w:firstLine="709"/>
        <w:jc w:val="both"/>
        <w:rPr>
          <w:rFonts w:ascii="Times New Roman" w:hAnsi="Times New Roman"/>
          <w:sz w:val="28"/>
          <w:szCs w:val="28"/>
          <w:lang w:val="uk-UA"/>
        </w:rPr>
      </w:pPr>
      <w:r w:rsidRPr="00AA17A0">
        <w:rPr>
          <w:rFonts w:ascii="Times New Roman" w:hAnsi="Times New Roman"/>
          <w:i/>
          <w:sz w:val="28"/>
          <w:szCs w:val="28"/>
          <w:lang w:val="uk-UA"/>
        </w:rPr>
        <w:t>Методи дослідження</w:t>
      </w:r>
      <w:r w:rsidRPr="00DD39D0">
        <w:rPr>
          <w:rFonts w:ascii="Times New Roman" w:hAnsi="Times New Roman"/>
          <w:sz w:val="28"/>
          <w:szCs w:val="28"/>
          <w:lang w:val="uk-UA"/>
        </w:rPr>
        <w:t xml:space="preserve">: клінічні - визначення стану гігієни порожнини рота, ступеню </w:t>
      </w:r>
      <w:r w:rsidR="00670FBA">
        <w:rPr>
          <w:rFonts w:ascii="Times New Roman" w:hAnsi="Times New Roman"/>
          <w:sz w:val="28"/>
          <w:szCs w:val="28"/>
          <w:lang w:val="uk-UA"/>
        </w:rPr>
        <w:t>запалення тканин пародонту, рівню</w:t>
      </w:r>
      <w:r w:rsidRPr="00DD39D0">
        <w:rPr>
          <w:rFonts w:ascii="Times New Roman" w:hAnsi="Times New Roman"/>
          <w:sz w:val="28"/>
          <w:szCs w:val="28"/>
          <w:lang w:val="uk-UA"/>
        </w:rPr>
        <w:t xml:space="preserve"> м</w:t>
      </w:r>
      <w:r w:rsidR="00670FBA">
        <w:rPr>
          <w:rFonts w:ascii="Times New Roman" w:hAnsi="Times New Roman"/>
          <w:sz w:val="28"/>
          <w:szCs w:val="28"/>
          <w:lang w:val="uk-UA"/>
        </w:rPr>
        <w:t>уцину у ротовій рідині, кислотності</w:t>
      </w:r>
      <w:r w:rsidRPr="00DD39D0">
        <w:rPr>
          <w:rFonts w:ascii="Times New Roman" w:hAnsi="Times New Roman"/>
          <w:sz w:val="28"/>
          <w:szCs w:val="28"/>
          <w:lang w:val="uk-UA"/>
        </w:rPr>
        <w:t xml:space="preserve"> ротової рідини; експериментальні – </w:t>
      </w:r>
      <w:r w:rsidR="0024773D">
        <w:rPr>
          <w:rFonts w:ascii="Times New Roman" w:hAnsi="Times New Roman"/>
          <w:sz w:val="28"/>
          <w:szCs w:val="28"/>
          <w:lang w:val="uk-UA"/>
        </w:rPr>
        <w:t>в</w:t>
      </w:r>
      <w:r w:rsidR="0024773D" w:rsidRPr="0024773D">
        <w:rPr>
          <w:rFonts w:ascii="Times New Roman" w:hAnsi="Times New Roman"/>
          <w:sz w:val="28"/>
          <w:szCs w:val="28"/>
          <w:lang w:val="uk-UA"/>
        </w:rPr>
        <w:t>изначення морфологічних, гістологічних, імуногістохімічних змін тканин ротової порожнини при атопії</w:t>
      </w:r>
      <w:r w:rsidRPr="00DD39D0">
        <w:rPr>
          <w:rFonts w:ascii="Times New Roman" w:hAnsi="Times New Roman"/>
          <w:sz w:val="28"/>
          <w:szCs w:val="28"/>
          <w:lang w:val="uk-UA"/>
        </w:rPr>
        <w:t>;</w:t>
      </w:r>
      <w:r w:rsidR="00D17659">
        <w:rPr>
          <w:rFonts w:ascii="Times New Roman" w:hAnsi="Times New Roman"/>
          <w:sz w:val="28"/>
          <w:szCs w:val="28"/>
          <w:lang w:val="uk-UA"/>
        </w:rPr>
        <w:t xml:space="preserve"> клініко-лабораторні – визначен</w:t>
      </w:r>
      <w:r w:rsidRPr="00DD39D0">
        <w:rPr>
          <w:rFonts w:ascii="Times New Roman" w:hAnsi="Times New Roman"/>
          <w:sz w:val="28"/>
          <w:szCs w:val="28"/>
          <w:lang w:val="uk-UA"/>
        </w:rPr>
        <w:t xml:space="preserve">ня рівнів каталази, супероксиддисмутази, малонового диальдегіду, відновленого глутатіону, уреази, лізоциму, імуноглобулінів класу А, </w:t>
      </w:r>
      <w:r w:rsidRPr="00DD39D0">
        <w:rPr>
          <w:rFonts w:ascii="Times New Roman" w:hAnsi="Times New Roman"/>
          <w:sz w:val="28"/>
          <w:szCs w:val="28"/>
        </w:rPr>
        <w:t>G</w:t>
      </w:r>
      <w:r w:rsidRPr="00DD39D0">
        <w:rPr>
          <w:rFonts w:ascii="Times New Roman" w:hAnsi="Times New Roman"/>
          <w:sz w:val="28"/>
          <w:szCs w:val="28"/>
          <w:lang w:val="uk-UA"/>
        </w:rPr>
        <w:t xml:space="preserve">, M у ротовій рідині; генетичні – дослідження поліморфізму генів </w:t>
      </w:r>
      <w:r w:rsidRPr="00DD39D0">
        <w:rPr>
          <w:rFonts w:ascii="Times New Roman" w:hAnsi="Times New Roman"/>
          <w:sz w:val="28"/>
          <w:szCs w:val="28"/>
        </w:rPr>
        <w:t>MUC</w:t>
      </w:r>
      <w:r w:rsidRPr="00DD39D0">
        <w:rPr>
          <w:rFonts w:ascii="Times New Roman" w:hAnsi="Times New Roman"/>
          <w:sz w:val="28"/>
          <w:szCs w:val="28"/>
          <w:lang w:val="uk-UA"/>
        </w:rPr>
        <w:t>5</w:t>
      </w:r>
      <w:r w:rsidRPr="00DD39D0">
        <w:rPr>
          <w:rFonts w:ascii="Times New Roman" w:hAnsi="Times New Roman"/>
          <w:sz w:val="28"/>
          <w:szCs w:val="28"/>
        </w:rPr>
        <w:t>B</w:t>
      </w:r>
      <w:r w:rsidR="00303B9E">
        <w:rPr>
          <w:rFonts w:ascii="Times New Roman" w:hAnsi="Times New Roman"/>
          <w:sz w:val="28"/>
          <w:szCs w:val="28"/>
          <w:lang w:val="uk-UA"/>
        </w:rPr>
        <w:t>,</w:t>
      </w:r>
      <w:r w:rsidRPr="00DD39D0">
        <w:rPr>
          <w:rFonts w:ascii="Times New Roman" w:hAnsi="Times New Roman"/>
          <w:sz w:val="28"/>
          <w:szCs w:val="28"/>
          <w:lang w:val="uk-UA"/>
        </w:rPr>
        <w:t xml:space="preserve"> rs1801270, rs1800896 у дітей з атопічними захворюваннями; цитоморфологічні – дослідження клітин букального епітелію; </w:t>
      </w:r>
      <w:r w:rsidR="00670FBA">
        <w:rPr>
          <w:rFonts w:ascii="Times New Roman" w:hAnsi="Times New Roman"/>
          <w:sz w:val="28"/>
          <w:szCs w:val="28"/>
          <w:lang w:val="uk-UA"/>
        </w:rPr>
        <w:t xml:space="preserve">клініко-статистичні – визначення відмінностей між групами, </w:t>
      </w:r>
      <w:r w:rsidRPr="00DD39D0">
        <w:rPr>
          <w:rFonts w:ascii="Times New Roman" w:hAnsi="Times New Roman"/>
          <w:sz w:val="28"/>
          <w:szCs w:val="28"/>
          <w:lang w:val="uk-UA"/>
        </w:rPr>
        <w:t>регресійний аналіз залежності клінічних та імунометаболічних показників.</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b/>
          <w:sz w:val="28"/>
          <w:szCs w:val="28"/>
          <w:lang w:val="uk-UA"/>
        </w:rPr>
        <w:t>Наукова новизна дослідження.</w:t>
      </w:r>
      <w:r w:rsidRPr="00DD39D0">
        <w:rPr>
          <w:rFonts w:ascii="Times New Roman" w:hAnsi="Times New Roman"/>
          <w:sz w:val="28"/>
          <w:szCs w:val="28"/>
          <w:lang w:val="uk-UA"/>
        </w:rPr>
        <w:t xml:space="preserve"> </w:t>
      </w:r>
      <w:r w:rsidR="00AA17A0">
        <w:rPr>
          <w:rFonts w:ascii="Times New Roman" w:hAnsi="Times New Roman"/>
          <w:sz w:val="28"/>
          <w:szCs w:val="28"/>
          <w:lang w:val="uk-UA"/>
        </w:rPr>
        <w:t>Вперше вирішено проблему</w:t>
      </w:r>
      <w:r w:rsidRPr="00DD39D0">
        <w:rPr>
          <w:rFonts w:ascii="Times New Roman" w:hAnsi="Times New Roman"/>
          <w:sz w:val="28"/>
          <w:szCs w:val="28"/>
          <w:lang w:val="uk-UA"/>
        </w:rPr>
        <w:t xml:space="preserve"> прогнозу, ранньої діагностики, профілактики та лікування гінгівіту у дітей на тлі атопічних захворювань, що досягнуто за рахунок комплексного дос</w:t>
      </w:r>
      <w:r w:rsidR="001F41FE">
        <w:rPr>
          <w:rFonts w:ascii="Times New Roman" w:hAnsi="Times New Roman"/>
          <w:sz w:val="28"/>
          <w:szCs w:val="28"/>
          <w:lang w:val="uk-UA"/>
        </w:rPr>
        <w:t>лідження клінічного, імунологіч</w:t>
      </w:r>
      <w:r w:rsidRPr="00DD39D0">
        <w:rPr>
          <w:rFonts w:ascii="Times New Roman" w:hAnsi="Times New Roman"/>
          <w:sz w:val="28"/>
          <w:szCs w:val="28"/>
          <w:lang w:val="uk-UA"/>
        </w:rPr>
        <w:t>ного та антиоксидантного статусу даного контингенту та регресійного аналізу отриманих даних.</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Вперше описані морфологічні зміни в тканинах слизової оболонки ротової порожнини при експериментальному моделюванні атопії на тваринах з розвитком запальних, дистрофічних, дисциркуляторних процесів, метаболічних розладів, що може служити </w:t>
      </w:r>
      <w:r w:rsidR="001F41FE" w:rsidRPr="00DD39D0">
        <w:rPr>
          <w:rFonts w:ascii="Times New Roman" w:hAnsi="Times New Roman"/>
          <w:sz w:val="28"/>
          <w:szCs w:val="28"/>
          <w:lang w:val="uk-UA"/>
        </w:rPr>
        <w:t>обґрунтуванням</w:t>
      </w:r>
      <w:r w:rsidRPr="00DD39D0">
        <w:rPr>
          <w:rFonts w:ascii="Times New Roman" w:hAnsi="Times New Roman"/>
          <w:sz w:val="28"/>
          <w:szCs w:val="28"/>
          <w:lang w:val="uk-UA"/>
        </w:rPr>
        <w:t xml:space="preserve"> для подальшого ретельного вивчення маркерів імунометаболічного дисбалансу та розробки профілактичних заходів у хворих на атопічні захворювання, заснованими на корекції антиоксидантного дисбалансу. Проведення цитофотометрії вказує на показники накопичення ендотеліальної NO-синтази в стінці судин на рівні 0,79±0,11 ум.од., у периваскулярному просторі 0,27±0,04 ум.од.</w:t>
      </w:r>
      <w:r w:rsidR="00303B9E">
        <w:rPr>
          <w:rFonts w:ascii="Times New Roman" w:hAnsi="Times New Roman"/>
          <w:sz w:val="28"/>
          <w:szCs w:val="28"/>
          <w:lang w:val="uk-UA"/>
        </w:rPr>
        <w:t xml:space="preserve"> при моделюванні атопії.</w:t>
      </w:r>
    </w:p>
    <w:p w:rsidR="00E267F9" w:rsidRPr="008028DB" w:rsidRDefault="00E267F9" w:rsidP="008028DB">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Вперше отримано дані комплексного клінічного та імунометаболічного статусу дітей, хворих на атопічні захворювання, на етапі виражених клінічних проявів хронічного гінгівіту та на стадії передхвороби. Встановлено, що рівень </w:t>
      </w:r>
      <w:r w:rsidRPr="00DD39D0">
        <w:rPr>
          <w:rFonts w:ascii="Times New Roman" w:hAnsi="Times New Roman"/>
          <w:sz w:val="28"/>
          <w:szCs w:val="28"/>
          <w:lang w:val="uk-UA"/>
        </w:rPr>
        <w:lastRenderedPageBreak/>
        <w:t xml:space="preserve">запалення тканин пародонту у дітей з атопією відповідає в середньому 2.11 ± 0.22 балам згідно з індексом </w:t>
      </w:r>
      <w:r w:rsidRPr="00DD39D0">
        <w:rPr>
          <w:rFonts w:ascii="Times New Roman" w:hAnsi="Times New Roman"/>
          <w:sz w:val="28"/>
          <w:szCs w:val="28"/>
        </w:rPr>
        <w:t>SBI</w:t>
      </w:r>
      <w:r w:rsidRPr="00DD39D0">
        <w:rPr>
          <w:rFonts w:ascii="Times New Roman" w:hAnsi="Times New Roman"/>
          <w:sz w:val="28"/>
          <w:szCs w:val="28"/>
          <w:lang w:val="uk-UA"/>
        </w:rPr>
        <w:t xml:space="preserve">, стан гігієни ротової порожнини 1.54 ± 0.42 бали за індексом </w:t>
      </w:r>
      <w:r w:rsidRPr="00DD39D0">
        <w:rPr>
          <w:rFonts w:ascii="Times New Roman" w:hAnsi="Times New Roman"/>
          <w:sz w:val="28"/>
          <w:szCs w:val="28"/>
        </w:rPr>
        <w:t>OHI</w:t>
      </w:r>
      <w:r w:rsidRPr="00DD39D0">
        <w:rPr>
          <w:rFonts w:ascii="Times New Roman" w:hAnsi="Times New Roman"/>
          <w:sz w:val="28"/>
          <w:szCs w:val="28"/>
          <w:lang w:val="uk-UA"/>
        </w:rPr>
        <w:t>-</w:t>
      </w:r>
      <w:r w:rsidRPr="00DD39D0">
        <w:rPr>
          <w:rFonts w:ascii="Times New Roman" w:hAnsi="Times New Roman"/>
          <w:sz w:val="28"/>
          <w:szCs w:val="28"/>
        </w:rPr>
        <w:t>S</w:t>
      </w:r>
      <w:r w:rsidRPr="00DD39D0">
        <w:rPr>
          <w:rFonts w:ascii="Times New Roman" w:hAnsi="Times New Roman"/>
          <w:sz w:val="28"/>
          <w:szCs w:val="28"/>
          <w:lang w:val="uk-UA"/>
        </w:rPr>
        <w:t>, рівень муцину 5.76 ± 0.82 г/л.</w:t>
      </w:r>
      <w:r w:rsidR="008028DB">
        <w:rPr>
          <w:rFonts w:ascii="Times New Roman" w:hAnsi="Times New Roman"/>
          <w:sz w:val="28"/>
          <w:szCs w:val="28"/>
          <w:lang w:val="uk-UA"/>
        </w:rPr>
        <w:t xml:space="preserve"> </w:t>
      </w:r>
      <w:r w:rsidRPr="00DD39D0">
        <w:rPr>
          <w:rFonts w:ascii="Times New Roman" w:hAnsi="Times New Roman"/>
          <w:sz w:val="28"/>
          <w:szCs w:val="28"/>
          <w:lang w:val="uk-UA"/>
        </w:rPr>
        <w:t xml:space="preserve">Вперше проаналізовано динаміку змін ступеню запалення тканин пародонту за індексами РМА та </w:t>
      </w:r>
      <w:r w:rsidRPr="00DD39D0">
        <w:rPr>
          <w:rFonts w:ascii="Times New Roman" w:hAnsi="Times New Roman"/>
          <w:sz w:val="28"/>
          <w:szCs w:val="28"/>
        </w:rPr>
        <w:t>SBI</w:t>
      </w:r>
      <w:r w:rsidRPr="00DD39D0">
        <w:rPr>
          <w:rFonts w:ascii="Times New Roman" w:hAnsi="Times New Roman"/>
          <w:sz w:val="28"/>
          <w:szCs w:val="28"/>
          <w:lang w:val="uk-UA"/>
        </w:rPr>
        <w:t xml:space="preserve"> в аспекті їх взаємозв’язку з показниками імунного статусу та стану антиоксидантної системи. Вперше встановлено, що у групі пацієнтів з атопічними захворюваннями при мінімальних значеннях показників, що характеризують запалення у тканинах пародонту, а саме 0,49 ± 0,22 балів за індексом </w:t>
      </w:r>
      <w:r w:rsidRPr="00DD39D0">
        <w:rPr>
          <w:rFonts w:ascii="Times New Roman" w:hAnsi="Times New Roman"/>
          <w:sz w:val="28"/>
          <w:szCs w:val="28"/>
        </w:rPr>
        <w:t>SBI</w:t>
      </w:r>
      <w:r w:rsidRPr="00DD39D0">
        <w:rPr>
          <w:rFonts w:ascii="Times New Roman" w:hAnsi="Times New Roman"/>
          <w:sz w:val="28"/>
          <w:szCs w:val="28"/>
          <w:lang w:val="uk-UA"/>
        </w:rPr>
        <w:t>, вже спостерігається імунометаболічний дисбаланс, визначений у ротовій рідині, а саме</w:t>
      </w:r>
      <w:r w:rsidR="00670FBA">
        <w:rPr>
          <w:rFonts w:ascii="Times New Roman" w:hAnsi="Times New Roman"/>
          <w:sz w:val="28"/>
          <w:szCs w:val="28"/>
          <w:lang w:val="uk-UA"/>
        </w:rPr>
        <w:t>:</w:t>
      </w:r>
      <w:r w:rsidRPr="00DD39D0">
        <w:rPr>
          <w:rFonts w:ascii="Times New Roman" w:hAnsi="Times New Roman"/>
          <w:sz w:val="28"/>
          <w:szCs w:val="28"/>
          <w:lang w:val="uk-UA"/>
        </w:rPr>
        <w:t xml:space="preserve"> СОД</w:t>
      </w:r>
      <w:r w:rsidR="00670FBA">
        <w:rPr>
          <w:rFonts w:ascii="Times New Roman" w:hAnsi="Times New Roman"/>
          <w:sz w:val="28"/>
          <w:szCs w:val="28"/>
          <w:lang w:val="uk-UA"/>
        </w:rPr>
        <w:t xml:space="preserve"> дорівнює </w:t>
      </w:r>
      <w:r w:rsidRPr="00DD39D0">
        <w:rPr>
          <w:rFonts w:ascii="Times New Roman" w:hAnsi="Times New Roman"/>
          <w:sz w:val="28"/>
          <w:szCs w:val="28"/>
          <w:lang w:val="uk-UA"/>
        </w:rPr>
        <w:t xml:space="preserve">3.27 ± 0.40 у.о./л, відновлений глутатіон 2.69 ± 0.56 ммоль/л, </w:t>
      </w:r>
      <w:r w:rsidRPr="00DD39D0">
        <w:rPr>
          <w:rFonts w:ascii="Times New Roman" w:hAnsi="Times New Roman"/>
          <w:sz w:val="28"/>
          <w:szCs w:val="28"/>
        </w:rPr>
        <w:t>sIgA</w:t>
      </w:r>
      <w:r w:rsidRPr="00DD39D0">
        <w:rPr>
          <w:rFonts w:ascii="Times New Roman" w:hAnsi="Times New Roman"/>
          <w:sz w:val="28"/>
          <w:szCs w:val="28"/>
          <w:lang w:val="uk-UA"/>
        </w:rPr>
        <w:t xml:space="preserve"> 75.41 ± 9.04 мг/л, що дає змогу визначити стадію передхвороби у даного контингенту дітей. Встановлено, що незалежно від рівня запалення, спостерігається зниження рівня імуноглобулінів класу А, </w:t>
      </w:r>
      <w:r w:rsidRPr="00DD39D0">
        <w:rPr>
          <w:rFonts w:ascii="Times New Roman" w:hAnsi="Times New Roman"/>
          <w:sz w:val="28"/>
          <w:szCs w:val="28"/>
        </w:rPr>
        <w:t>G</w:t>
      </w:r>
      <w:r w:rsidRPr="00DD39D0">
        <w:rPr>
          <w:rFonts w:ascii="Times New Roman" w:hAnsi="Times New Roman"/>
          <w:sz w:val="28"/>
          <w:szCs w:val="28"/>
          <w:lang w:val="uk-UA"/>
        </w:rPr>
        <w:t>, М та зниження активності СОД, зростання концентрації МДА, знижується вміст каталази та глутатіону.</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Вперше виявлено найбільш інформативні неінвазивні діагностичні та прогностичні біомаркери ротової рідини, отримані за допомогою методу регресійного аналізу даних комплексного клінічного стоматологічного обстеження хворих та імунометаболічного дослідження ротової рідини. Вперше встановлено, що коефіцієнт детермінації залежності рівню запалення тканин пародонту (за індексом </w:t>
      </w:r>
      <w:r w:rsidRPr="00DD39D0">
        <w:rPr>
          <w:rFonts w:ascii="Times New Roman" w:hAnsi="Times New Roman"/>
          <w:sz w:val="28"/>
          <w:szCs w:val="28"/>
        </w:rPr>
        <w:t>SBI</w:t>
      </w:r>
      <w:r w:rsidRPr="00DD39D0">
        <w:rPr>
          <w:rFonts w:ascii="Times New Roman" w:hAnsi="Times New Roman"/>
          <w:sz w:val="28"/>
          <w:szCs w:val="28"/>
          <w:lang w:val="uk-UA"/>
        </w:rPr>
        <w:t>) від рівня секреторн</w:t>
      </w:r>
      <w:r w:rsidR="004D4BC2" w:rsidRPr="00DD39D0">
        <w:rPr>
          <w:rFonts w:ascii="Times New Roman" w:hAnsi="Times New Roman"/>
          <w:sz w:val="28"/>
          <w:szCs w:val="28"/>
          <w:lang w:val="uk-UA"/>
        </w:rPr>
        <w:t>ого імуноглобуліну А дорівнює 87</w:t>
      </w:r>
      <w:r w:rsidRPr="00DD39D0">
        <w:rPr>
          <w:rFonts w:ascii="Times New Roman" w:hAnsi="Times New Roman"/>
          <w:sz w:val="28"/>
          <w:szCs w:val="28"/>
          <w:lang w:val="uk-UA"/>
        </w:rPr>
        <w:t xml:space="preserve"> %, від рівня імуноглобуліну </w:t>
      </w:r>
      <w:r w:rsidRPr="00DD39D0">
        <w:rPr>
          <w:rFonts w:ascii="Times New Roman" w:hAnsi="Times New Roman"/>
          <w:sz w:val="28"/>
          <w:szCs w:val="28"/>
        </w:rPr>
        <w:t>G</w:t>
      </w:r>
      <w:r w:rsidRPr="00DD39D0">
        <w:rPr>
          <w:rFonts w:ascii="Times New Roman" w:hAnsi="Times New Roman"/>
          <w:sz w:val="28"/>
          <w:szCs w:val="28"/>
          <w:lang w:val="uk-UA"/>
        </w:rPr>
        <w:t xml:space="preserve"> – 82 %. Вперше встановлено, що коефіцієнт детермінації залежності рівню запалення тканин пародонту (за індексом РМА) від рівня імуноглобуліну А дорівнює 76 %. Залежність ступеню запалення ясен за індексом РМА від зміни рівню імуноглобуліну </w:t>
      </w:r>
      <w:r w:rsidRPr="00DD39D0">
        <w:rPr>
          <w:rFonts w:ascii="Times New Roman" w:hAnsi="Times New Roman"/>
          <w:sz w:val="28"/>
          <w:szCs w:val="28"/>
        </w:rPr>
        <w:t>M</w:t>
      </w:r>
      <w:r w:rsidRPr="00DD39D0">
        <w:rPr>
          <w:rFonts w:ascii="Times New Roman" w:hAnsi="Times New Roman"/>
          <w:sz w:val="28"/>
          <w:szCs w:val="28"/>
          <w:lang w:val="uk-UA"/>
        </w:rPr>
        <w:t xml:space="preserve"> не є значимою, оскільки визначений коефіцієнт детермінації 68%. Вперше визначено, що найбільш інформативним біомаркером, який характеризує антиоксидантний статус та дає змогу прогнозувати ступінь запалення тканин пародонту є рівень</w:t>
      </w:r>
      <w:r w:rsidR="00670FBA">
        <w:rPr>
          <w:rFonts w:ascii="Times New Roman" w:hAnsi="Times New Roman"/>
          <w:sz w:val="28"/>
          <w:szCs w:val="28"/>
          <w:lang w:val="uk-UA"/>
        </w:rPr>
        <w:t xml:space="preserve"> відновленого</w:t>
      </w:r>
      <w:r w:rsidRPr="00DD39D0">
        <w:rPr>
          <w:rFonts w:ascii="Times New Roman" w:hAnsi="Times New Roman"/>
          <w:sz w:val="28"/>
          <w:szCs w:val="28"/>
          <w:lang w:val="uk-UA"/>
        </w:rPr>
        <w:t xml:space="preserve"> глутатіону у ротовій рідині, коефіцієнт детермінації складає 91%.</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Вперше побудовано прогностичну модель запальних захворювань пародонту на основі виділених у процесі дослідження найбільш інформативних біомаркерів запалення. Вперше побудовано рівняння лінійної регресії, за допомогою якого можли</w:t>
      </w:r>
      <w:r w:rsidR="00F40353">
        <w:rPr>
          <w:rFonts w:ascii="Times New Roman" w:hAnsi="Times New Roman"/>
          <w:sz w:val="28"/>
          <w:szCs w:val="28"/>
          <w:lang w:val="uk-UA"/>
        </w:rPr>
        <w:t>ве цифрове визначення прогностичних</w:t>
      </w:r>
      <w:r w:rsidRPr="00DD39D0">
        <w:rPr>
          <w:rFonts w:ascii="Times New Roman" w:hAnsi="Times New Roman"/>
          <w:sz w:val="28"/>
          <w:szCs w:val="28"/>
          <w:lang w:val="uk-UA"/>
        </w:rPr>
        <w:t xml:space="preserve"> значень запалення тканин пародонту при здійсненні профілактичних та лікувальних заходів. Визначено коефіцієнти рівняння лінійної регресії залежності ступеня запалення тканини пародонту за рівнем РМА від рівню імуноглобуліну А, які дорівнюють мінус 1,63 та 10,85; за рівнем індексу кровоточивості залежність від рівню секреторного імуноглобуліну А - мінус 88,7 та 50,6; від рівню імуноглобуліну </w:t>
      </w:r>
      <w:r w:rsidRPr="00DD39D0">
        <w:rPr>
          <w:rFonts w:ascii="Times New Roman" w:hAnsi="Times New Roman"/>
          <w:sz w:val="28"/>
          <w:szCs w:val="28"/>
        </w:rPr>
        <w:t>G</w:t>
      </w:r>
      <w:r w:rsidRPr="00DD39D0">
        <w:rPr>
          <w:rFonts w:ascii="Times New Roman" w:hAnsi="Times New Roman"/>
          <w:sz w:val="28"/>
          <w:szCs w:val="28"/>
          <w:lang w:val="uk-UA"/>
        </w:rPr>
        <w:t xml:space="preserve"> - мінус 0,32 та 0,98. Визначено коефіцієнти рівняння лінійної регресії, яке характеризує залежність глутатіону як найбільш інформативного біомаркера, який хара</w:t>
      </w:r>
      <w:r w:rsidR="002808DD">
        <w:rPr>
          <w:rFonts w:ascii="Times New Roman" w:hAnsi="Times New Roman"/>
          <w:sz w:val="28"/>
          <w:szCs w:val="28"/>
          <w:lang w:val="uk-UA"/>
        </w:rPr>
        <w:t>ктеризує ступінь запалення ясен, -</w:t>
      </w:r>
      <w:r w:rsidRPr="00DD39D0">
        <w:rPr>
          <w:rFonts w:ascii="Times New Roman" w:hAnsi="Times New Roman"/>
          <w:sz w:val="28"/>
          <w:szCs w:val="28"/>
          <w:lang w:val="uk-UA"/>
        </w:rPr>
        <w:t xml:space="preserve"> мінус 2.49 та 40.97.</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lastRenderedPageBreak/>
        <w:t xml:space="preserve">Дістала подальшого розвитку концепція етіології та патогенезу хронічного гінгівіту у дітей з атопічними захворюваннями завдяки виявленню факторів ініціації запального процесу та отриманим даним першочергової залежності ступеню запалення тканин пародонту від гомеостазу ротової рідини, яка забезпечується та характеризується станом </w:t>
      </w:r>
      <w:r w:rsidR="002808DD">
        <w:rPr>
          <w:rFonts w:ascii="Times New Roman" w:hAnsi="Times New Roman"/>
          <w:sz w:val="28"/>
          <w:szCs w:val="28"/>
          <w:lang w:val="uk-UA"/>
        </w:rPr>
        <w:t>імунної системи</w:t>
      </w:r>
      <w:r w:rsidRPr="00DD39D0">
        <w:rPr>
          <w:rFonts w:ascii="Times New Roman" w:hAnsi="Times New Roman"/>
          <w:sz w:val="28"/>
          <w:szCs w:val="28"/>
          <w:lang w:val="uk-UA"/>
        </w:rPr>
        <w:t xml:space="preserve"> та прооксидантно-антиоксиданого балансу.</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Отримані нові наукові дані інформативності експрес-методу оцінювання функціонального стану організму та наявності стрес-клітин за допомогою визначення ступеню конденсації хроматину у клітинах букального епітелію дітей, хворих на атопічні захворювання.</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Отримано нові наукові дані про зміни властивостей ротової рідини дітей, хворих на атопічні захворювання та соматично здорових дітей, які є специфічними факторами ризику розвитку запальних захворювань пародонту. Визначено, що атопічні захворювання впливають на гоме</w:t>
      </w:r>
      <w:r w:rsidR="008028DB">
        <w:rPr>
          <w:rFonts w:ascii="Times New Roman" w:hAnsi="Times New Roman"/>
          <w:sz w:val="28"/>
          <w:szCs w:val="28"/>
          <w:lang w:val="uk-UA"/>
        </w:rPr>
        <w:t>о</w:t>
      </w:r>
      <w:r w:rsidRPr="00DD39D0">
        <w:rPr>
          <w:rFonts w:ascii="Times New Roman" w:hAnsi="Times New Roman"/>
          <w:sz w:val="28"/>
          <w:szCs w:val="28"/>
          <w:lang w:val="uk-UA"/>
        </w:rPr>
        <w:t>стаз ротової рідини, що призводить до підвищення рівня кислотності та підвищення вмісту муцину у ротовій рідині дітей, хворих на атопічні захворювання.</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Вперше розроблений та патогенетично обґрунтований індивідуалізований комплекс заходів, спрямований на профілактику та лікування хронічного гінгівіту, на основі корекції імунологічного статусу та корекції антиоксидантного дисбалансу у дітей на тлі атопічних захв</w:t>
      </w:r>
      <w:r w:rsidR="00DF0D7B" w:rsidRPr="00DD39D0">
        <w:rPr>
          <w:rFonts w:ascii="Times New Roman" w:hAnsi="Times New Roman"/>
          <w:sz w:val="28"/>
          <w:szCs w:val="28"/>
          <w:lang w:val="uk-UA"/>
        </w:rPr>
        <w:t>о</w:t>
      </w:r>
      <w:r w:rsidRPr="00DD39D0">
        <w:rPr>
          <w:rFonts w:ascii="Times New Roman" w:hAnsi="Times New Roman"/>
          <w:sz w:val="28"/>
          <w:szCs w:val="28"/>
          <w:lang w:val="uk-UA"/>
        </w:rPr>
        <w:t>рювань.</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Вперше проведене</w:t>
      </w:r>
      <w:r w:rsidR="008028DB">
        <w:rPr>
          <w:rFonts w:ascii="Times New Roman" w:hAnsi="Times New Roman"/>
          <w:sz w:val="28"/>
          <w:szCs w:val="28"/>
          <w:lang w:val="uk-UA"/>
        </w:rPr>
        <w:t xml:space="preserve"> комплексне клініко-лабораторне</w:t>
      </w:r>
      <w:r w:rsidRPr="00DD39D0">
        <w:rPr>
          <w:rFonts w:ascii="Times New Roman" w:hAnsi="Times New Roman"/>
          <w:sz w:val="28"/>
          <w:szCs w:val="28"/>
          <w:lang w:val="uk-UA"/>
        </w:rPr>
        <w:t xml:space="preserve"> оцінювання ефективності використання концептуально нової </w:t>
      </w:r>
      <w:r w:rsidR="00F40353">
        <w:rPr>
          <w:rFonts w:ascii="Times New Roman" w:hAnsi="Times New Roman"/>
          <w:sz w:val="28"/>
          <w:szCs w:val="28"/>
          <w:lang w:val="uk-UA"/>
        </w:rPr>
        <w:t>програми</w:t>
      </w:r>
      <w:r w:rsidRPr="00DD39D0">
        <w:rPr>
          <w:rFonts w:ascii="Times New Roman" w:hAnsi="Times New Roman"/>
          <w:sz w:val="28"/>
          <w:szCs w:val="28"/>
          <w:lang w:val="uk-UA"/>
        </w:rPr>
        <w:t xml:space="preserve"> лікування та профілактики гінгівіту у дітей з атопічними захворюваннями з урахуванням виявлених змін клінічного, імунологічного та антиоксидантного статусу.</w:t>
      </w:r>
    </w:p>
    <w:p w:rsidR="00E267F9" w:rsidRPr="00DD39D0" w:rsidRDefault="008028DB" w:rsidP="006721D7">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Практичне</w:t>
      </w:r>
      <w:r w:rsidR="00E267F9" w:rsidRPr="00DD39D0">
        <w:rPr>
          <w:rFonts w:ascii="Times New Roman" w:hAnsi="Times New Roman"/>
          <w:b/>
          <w:sz w:val="28"/>
          <w:szCs w:val="28"/>
          <w:lang w:val="uk-UA"/>
        </w:rPr>
        <w:t xml:space="preserve"> значення отриманих результатів.</w:t>
      </w:r>
      <w:r w:rsidR="00E267F9" w:rsidRPr="00DD39D0">
        <w:rPr>
          <w:rFonts w:ascii="Times New Roman" w:hAnsi="Times New Roman"/>
          <w:sz w:val="28"/>
          <w:szCs w:val="28"/>
          <w:lang w:val="uk-UA"/>
        </w:rPr>
        <w:t xml:space="preserve"> </w:t>
      </w:r>
      <w:r w:rsidR="005317F8">
        <w:rPr>
          <w:rFonts w:ascii="Times New Roman" w:hAnsi="Times New Roman"/>
          <w:sz w:val="28"/>
          <w:szCs w:val="28"/>
          <w:lang w:val="uk-UA"/>
        </w:rPr>
        <w:t>Створена та впроваджена</w:t>
      </w:r>
      <w:r w:rsidR="004338C9">
        <w:rPr>
          <w:rFonts w:ascii="Times New Roman" w:hAnsi="Times New Roman"/>
          <w:sz w:val="28"/>
          <w:szCs w:val="28"/>
          <w:lang w:val="uk-UA"/>
        </w:rPr>
        <w:t xml:space="preserve"> індивідуалізована програма профілактики</w:t>
      </w:r>
      <w:r w:rsidR="00E267F9" w:rsidRPr="00DD39D0">
        <w:rPr>
          <w:rFonts w:ascii="Times New Roman" w:hAnsi="Times New Roman"/>
          <w:sz w:val="28"/>
          <w:szCs w:val="28"/>
          <w:lang w:val="uk-UA"/>
        </w:rPr>
        <w:t xml:space="preserve"> та</w:t>
      </w:r>
      <w:r w:rsidR="004338C9">
        <w:rPr>
          <w:rFonts w:ascii="Times New Roman" w:hAnsi="Times New Roman"/>
          <w:sz w:val="28"/>
          <w:szCs w:val="28"/>
          <w:lang w:val="uk-UA"/>
        </w:rPr>
        <w:t xml:space="preserve"> лікування гінгівіту</w:t>
      </w:r>
      <w:r w:rsidR="00E267F9" w:rsidRPr="00DD39D0">
        <w:rPr>
          <w:rFonts w:ascii="Times New Roman" w:hAnsi="Times New Roman"/>
          <w:sz w:val="28"/>
          <w:szCs w:val="28"/>
          <w:lang w:val="uk-UA"/>
        </w:rPr>
        <w:t xml:space="preserve"> на основі корекції імунологічного статусу та антиоксидантного дисбалансу у дітей на тлі атопічних захворювань. </w:t>
      </w:r>
    </w:p>
    <w:p w:rsidR="00E267F9" w:rsidRPr="00DD39D0" w:rsidRDefault="00E267F9" w:rsidP="0021152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Практично значимим є визначення найбільш інформативних неінвазивних біомаркерів у ротовій рідині, які є предикторами запалення тканин пародонту та визначаються під час профілактичних оглядів та на доклінічній стадії розвитку хвороби. До таких біомаркерів належать рівні секреторного імуноглобуліну А та імуноглобуліну </w:t>
      </w:r>
      <w:r w:rsidRPr="00DD39D0">
        <w:rPr>
          <w:rFonts w:ascii="Times New Roman" w:hAnsi="Times New Roman"/>
          <w:sz w:val="28"/>
          <w:szCs w:val="28"/>
        </w:rPr>
        <w:t>G</w:t>
      </w:r>
      <w:r w:rsidRPr="00DD39D0">
        <w:rPr>
          <w:rFonts w:ascii="Times New Roman" w:hAnsi="Times New Roman"/>
          <w:sz w:val="28"/>
          <w:szCs w:val="28"/>
          <w:lang w:val="uk-UA"/>
        </w:rPr>
        <w:t>, а також ріве</w:t>
      </w:r>
      <w:r w:rsidR="00211525">
        <w:rPr>
          <w:rFonts w:ascii="Times New Roman" w:hAnsi="Times New Roman"/>
          <w:sz w:val="28"/>
          <w:szCs w:val="28"/>
          <w:lang w:val="uk-UA"/>
        </w:rPr>
        <w:t>нь глутатіону у ротовій рідині. Запропонована концептуально нова програма</w:t>
      </w:r>
      <w:r w:rsidRPr="00DD39D0">
        <w:rPr>
          <w:rFonts w:ascii="Times New Roman" w:hAnsi="Times New Roman"/>
          <w:sz w:val="28"/>
          <w:szCs w:val="28"/>
          <w:lang w:val="uk-UA"/>
        </w:rPr>
        <w:t xml:space="preserve"> профілактики та лікування хронічного гінгівіту дозволяє виявляти гінгівіт н</w:t>
      </w:r>
      <w:r w:rsidR="004338C9">
        <w:rPr>
          <w:rFonts w:ascii="Times New Roman" w:hAnsi="Times New Roman"/>
          <w:sz w:val="28"/>
          <w:szCs w:val="28"/>
          <w:lang w:val="uk-UA"/>
        </w:rPr>
        <w:t>а ранніх стадіях та не допустити</w:t>
      </w:r>
      <w:r w:rsidRPr="00DD39D0">
        <w:rPr>
          <w:rFonts w:ascii="Times New Roman" w:hAnsi="Times New Roman"/>
          <w:sz w:val="28"/>
          <w:szCs w:val="28"/>
          <w:lang w:val="uk-UA"/>
        </w:rPr>
        <w:t xml:space="preserve"> прогресування гінгівіту у більш тяжкий ступінь або у пародонтит. </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Результати дослідження впроваджені на різ</w:t>
      </w:r>
      <w:r w:rsidR="004338C9">
        <w:rPr>
          <w:rFonts w:ascii="Times New Roman" w:hAnsi="Times New Roman"/>
          <w:sz w:val="28"/>
          <w:szCs w:val="28"/>
          <w:lang w:val="uk-UA"/>
        </w:rPr>
        <w:t>них рівнях медичної допомоги</w:t>
      </w:r>
      <w:r w:rsidRPr="00DD39D0">
        <w:rPr>
          <w:rFonts w:ascii="Times New Roman" w:hAnsi="Times New Roman"/>
          <w:sz w:val="28"/>
          <w:szCs w:val="28"/>
          <w:lang w:val="uk-UA"/>
        </w:rPr>
        <w:t xml:space="preserve">, зокрема у лікувально-діагностичний процес профільних стоматологічних відділень: КЗОЗ «Харківська міська стоматологічна поліклініка № 4», КЗОЗ «Харківська міська стоматологічна поліклініка №2», КЗОЗ «Харківська міська дитяча поліклініка № 23», Університетського стоматологічного центру Харківського національного медичного університету, ТОВ «Університетська </w:t>
      </w:r>
      <w:r w:rsidRPr="00DD39D0">
        <w:rPr>
          <w:rFonts w:ascii="Times New Roman" w:hAnsi="Times New Roman"/>
          <w:sz w:val="28"/>
          <w:szCs w:val="28"/>
          <w:lang w:val="uk-UA"/>
        </w:rPr>
        <w:lastRenderedPageBreak/>
        <w:t>стоматологічна поліклініка» м.Ужгород, в лікувальну діяльність кафедри дитячої терапевтичної стоматології та профілактики стоматологічних захворювань ПВНЗ «Київський медичний університет» Полтавської міської дитячої клінічн</w:t>
      </w:r>
      <w:r w:rsidR="004338C9">
        <w:rPr>
          <w:rFonts w:ascii="Times New Roman" w:hAnsi="Times New Roman"/>
          <w:sz w:val="28"/>
          <w:szCs w:val="28"/>
          <w:lang w:val="uk-UA"/>
        </w:rPr>
        <w:t>ої стоматологічної поліклініки</w:t>
      </w:r>
      <w:r w:rsidRPr="00DD39D0">
        <w:rPr>
          <w:rFonts w:ascii="Times New Roman" w:hAnsi="Times New Roman"/>
          <w:sz w:val="28"/>
          <w:szCs w:val="28"/>
          <w:lang w:val="uk-UA"/>
        </w:rPr>
        <w:t>, Стоматологічного медичного центру Львівського національного медичного університету ім.</w:t>
      </w:r>
      <w:r w:rsidR="001F41FE">
        <w:rPr>
          <w:rFonts w:ascii="Times New Roman" w:hAnsi="Times New Roman"/>
          <w:sz w:val="28"/>
          <w:szCs w:val="28"/>
          <w:lang w:val="uk-UA"/>
        </w:rPr>
        <w:t xml:space="preserve"> </w:t>
      </w:r>
      <w:r w:rsidRPr="00DD39D0">
        <w:rPr>
          <w:rFonts w:ascii="Times New Roman" w:hAnsi="Times New Roman"/>
          <w:sz w:val="28"/>
          <w:szCs w:val="28"/>
          <w:lang w:val="uk-UA"/>
        </w:rPr>
        <w:t>Д.</w:t>
      </w:r>
      <w:r w:rsidR="001F41FE">
        <w:rPr>
          <w:rFonts w:ascii="Times New Roman" w:hAnsi="Times New Roman"/>
          <w:sz w:val="28"/>
          <w:szCs w:val="28"/>
          <w:lang w:val="uk-UA"/>
        </w:rPr>
        <w:t xml:space="preserve"> </w:t>
      </w:r>
      <w:r w:rsidRPr="00DD39D0">
        <w:rPr>
          <w:rFonts w:ascii="Times New Roman" w:hAnsi="Times New Roman"/>
          <w:sz w:val="28"/>
          <w:szCs w:val="28"/>
          <w:lang w:val="uk-UA"/>
        </w:rPr>
        <w:t>Галицького, стоматологічного відділу КЗ ТОР «Тернопільська університетська лікарня» Тернопільського державного медичного університету ім.І.Я.Горбачевського</w:t>
      </w:r>
      <w:r w:rsidR="004338C9">
        <w:rPr>
          <w:rFonts w:ascii="Times New Roman" w:hAnsi="Times New Roman"/>
          <w:sz w:val="28"/>
          <w:szCs w:val="28"/>
          <w:lang w:val="uk-UA"/>
        </w:rPr>
        <w:t xml:space="preserve">, в діяльність </w:t>
      </w:r>
      <w:r w:rsidR="004338C9" w:rsidRPr="00DD39D0">
        <w:rPr>
          <w:rFonts w:ascii="Times New Roman" w:hAnsi="Times New Roman"/>
          <w:sz w:val="28"/>
          <w:szCs w:val="28"/>
          <w:lang w:val="uk-UA"/>
        </w:rPr>
        <w:t>Вінницького обласного патологоанатомічного бюро, Тернопільського обласного патологоанатомічного бюро, Одеського обласного патологоанатомічного бюро</w:t>
      </w:r>
      <w:r w:rsidRPr="00DD39D0">
        <w:rPr>
          <w:rFonts w:ascii="Times New Roman" w:hAnsi="Times New Roman"/>
          <w:sz w:val="28"/>
          <w:szCs w:val="28"/>
          <w:lang w:val="uk-UA"/>
        </w:rPr>
        <w:t>. Крім цього, результати дослідження впроваджені в учбовий процес на кафедрі стоматології дитячого віку Івано-Франківського національного медичного університету, на кафедрі дитячої терапевтичної стоматології з профілактикою стоматологічних захворювань та кафедрі дитячої стоматології ВДНЗУ «Українська медична стоматологічна академія», патологічної анатомії Сумського державного університету, дитячої терапевтичної стоматології та профілактики стоматологічних захворювань ПВНЗ «Київський медичний університет», на кафедрі дитячої стоматології ДВНЗ «Тернопільський держ</w:t>
      </w:r>
      <w:r w:rsidR="001F41FE">
        <w:rPr>
          <w:rFonts w:ascii="Times New Roman" w:hAnsi="Times New Roman"/>
          <w:sz w:val="28"/>
          <w:szCs w:val="28"/>
          <w:lang w:val="uk-UA"/>
        </w:rPr>
        <w:t>авний медичний університет ім.</w:t>
      </w:r>
      <w:r w:rsidRPr="00DD39D0">
        <w:rPr>
          <w:rFonts w:ascii="Times New Roman" w:hAnsi="Times New Roman"/>
          <w:sz w:val="28"/>
          <w:szCs w:val="28"/>
          <w:lang w:val="uk-UA"/>
        </w:rPr>
        <w:t xml:space="preserve">І.Я. Горбачевського МОЗ України», ДВНЗ «Ужгородський національний університет» та Львівського національного </w:t>
      </w:r>
      <w:r w:rsidR="001F41FE">
        <w:rPr>
          <w:rFonts w:ascii="Times New Roman" w:hAnsi="Times New Roman"/>
          <w:sz w:val="28"/>
          <w:szCs w:val="28"/>
          <w:lang w:val="uk-UA"/>
        </w:rPr>
        <w:t xml:space="preserve">медичного університету ім. Д. </w:t>
      </w:r>
      <w:r w:rsidRPr="00DD39D0">
        <w:rPr>
          <w:rFonts w:ascii="Times New Roman" w:hAnsi="Times New Roman"/>
          <w:sz w:val="28"/>
          <w:szCs w:val="28"/>
          <w:lang w:val="uk-UA"/>
        </w:rPr>
        <w:t xml:space="preserve">Галицького. </w:t>
      </w:r>
    </w:p>
    <w:p w:rsidR="00E267F9"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b/>
          <w:sz w:val="28"/>
          <w:szCs w:val="28"/>
          <w:lang w:val="uk-UA"/>
        </w:rPr>
        <w:t>Особистий внесок здобувача.</w:t>
      </w:r>
      <w:r w:rsidRPr="00DD39D0">
        <w:rPr>
          <w:rFonts w:ascii="Times New Roman" w:hAnsi="Times New Roman"/>
          <w:sz w:val="28"/>
          <w:szCs w:val="28"/>
          <w:lang w:val="uk-UA"/>
        </w:rPr>
        <w:t xml:space="preserve"> Дисертаційна робота є завершеним самостійним дослідженням. Автором на основі аналізу літературних даних та пріоритетних розробок у напрямі дослідження визначена та </w:t>
      </w:r>
      <w:r w:rsidR="001F41FE" w:rsidRPr="00DD39D0">
        <w:rPr>
          <w:rFonts w:ascii="Times New Roman" w:hAnsi="Times New Roman"/>
          <w:sz w:val="28"/>
          <w:szCs w:val="28"/>
          <w:lang w:val="uk-UA"/>
        </w:rPr>
        <w:t>обґрунтована</w:t>
      </w:r>
      <w:r w:rsidRPr="00DD39D0">
        <w:rPr>
          <w:rFonts w:ascii="Times New Roman" w:hAnsi="Times New Roman"/>
          <w:sz w:val="28"/>
          <w:szCs w:val="28"/>
          <w:lang w:val="uk-UA"/>
        </w:rPr>
        <w:t xml:space="preserve"> тема дослідження, сформульовано мету та його задачі, визначено методи діагностики, профілактики та лікування. Безпосередньо дослідником здійснено обстеження та лікування усіх тематичних пацієнтів згідно з розробленою концептуально новою програмою профілактики та лікування. Здобувачем особисто визначено перелік біомаркерів, які можуть бути застосовані для діагностики, профілактики та лікування хронічного гінгівіту у дітей на тлі атопічних захворювань. Первинний матеріал повністю зібраний дослідником, проведений аналіз, систематизація, а також статистично-прогностична обробка отриманих даних. На основ</w:t>
      </w:r>
      <w:r w:rsidR="005317F8">
        <w:rPr>
          <w:rFonts w:ascii="Times New Roman" w:hAnsi="Times New Roman"/>
          <w:sz w:val="28"/>
          <w:szCs w:val="28"/>
          <w:lang w:val="uk-UA"/>
        </w:rPr>
        <w:t>і виконаних</w:t>
      </w:r>
      <w:r w:rsidRPr="00DD39D0">
        <w:rPr>
          <w:rFonts w:ascii="Times New Roman" w:hAnsi="Times New Roman"/>
          <w:sz w:val="28"/>
          <w:szCs w:val="28"/>
          <w:lang w:val="uk-UA"/>
        </w:rPr>
        <w:t xml:space="preserve"> клінічних та клініко-лабораторних досліджень автором написані усі розділи дисертаційної роботи. Здобувачем не були використані результати досліджень та ідеї співавторів публікацій.</w:t>
      </w:r>
      <w:r w:rsidR="008028DB">
        <w:rPr>
          <w:rFonts w:ascii="Times New Roman" w:hAnsi="Times New Roman"/>
          <w:sz w:val="28"/>
          <w:szCs w:val="28"/>
          <w:lang w:val="uk-UA"/>
        </w:rPr>
        <w:t xml:space="preserve"> Автором особисто розроблена, обґрунтована та впровад</w:t>
      </w:r>
      <w:r w:rsidR="005317F8">
        <w:rPr>
          <w:rFonts w:ascii="Times New Roman" w:hAnsi="Times New Roman"/>
          <w:sz w:val="28"/>
          <w:szCs w:val="28"/>
          <w:lang w:val="uk-UA"/>
        </w:rPr>
        <w:t>жена концептуально нова програма</w:t>
      </w:r>
      <w:r w:rsidR="008028DB" w:rsidRPr="00DD39D0">
        <w:rPr>
          <w:rFonts w:ascii="Times New Roman" w:hAnsi="Times New Roman"/>
          <w:sz w:val="28"/>
          <w:szCs w:val="28"/>
          <w:lang w:val="uk-UA"/>
        </w:rPr>
        <w:t xml:space="preserve"> лікування та профілактики гінгівіту у дітей з атопічними захворюваннями з урахуванням виявлених змін клінічного, імунологічного та антиоксидантного статусу.</w:t>
      </w:r>
    </w:p>
    <w:p w:rsidR="00E267F9"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b/>
          <w:sz w:val="28"/>
          <w:szCs w:val="28"/>
          <w:lang w:val="uk-UA"/>
        </w:rPr>
        <w:t>Апробація результатів дослідження.</w:t>
      </w:r>
      <w:r w:rsidRPr="00DD39D0">
        <w:rPr>
          <w:rFonts w:ascii="Times New Roman" w:hAnsi="Times New Roman"/>
          <w:sz w:val="28"/>
          <w:szCs w:val="28"/>
          <w:lang w:val="uk-UA"/>
        </w:rPr>
        <w:t xml:space="preserve"> Результати досліджень висвітлені у доповідях на з’їздах, конгресах та науково-практичних конференціях та семінарах всесвітнього, міжнародного, національного та регіонального рівнів, </w:t>
      </w:r>
      <w:r w:rsidRPr="00DD39D0">
        <w:rPr>
          <w:rFonts w:ascii="Times New Roman" w:hAnsi="Times New Roman"/>
          <w:sz w:val="28"/>
          <w:szCs w:val="28"/>
          <w:lang w:val="uk-UA"/>
        </w:rPr>
        <w:lastRenderedPageBreak/>
        <w:t xml:space="preserve">зокрема: </w:t>
      </w:r>
      <w:r w:rsidR="00706628" w:rsidRPr="00706628">
        <w:rPr>
          <w:rFonts w:ascii="Times New Roman" w:hAnsi="Times New Roman"/>
          <w:sz w:val="28"/>
          <w:szCs w:val="28"/>
          <w:lang w:val="uk-UA"/>
        </w:rPr>
        <w:t>FDI Annual World Dental Congress (м.Познань, 7-10 вересня 2016), НПК "Актуальні проблеми сучасної патологічної анатомії" (м. Київ, 21 квітня 2017), 4th International Scientific-Practical Conference Problems of Infocommunications. Science and Technology (м. Харків, 11-13 жовтня 2017), НПК з міжнародною участю "Щорічні терапевтичні читання: Медикаментозна ти немедикаментозна профілактика неінфекційних захворювань: погляд у майбутнє" (м. Харків, 20 квітня 2017), 4th International Stud</w:t>
      </w:r>
      <w:r w:rsidR="00706628">
        <w:rPr>
          <w:rFonts w:ascii="Times New Roman" w:hAnsi="Times New Roman"/>
          <w:sz w:val="28"/>
          <w:szCs w:val="28"/>
          <w:lang w:val="uk-UA"/>
        </w:rPr>
        <w:t>ent Congress, (м. Грац,</w:t>
      </w:r>
      <w:r w:rsidR="00706628" w:rsidRPr="00706628">
        <w:rPr>
          <w:rFonts w:ascii="Times New Roman" w:hAnsi="Times New Roman"/>
          <w:sz w:val="28"/>
          <w:szCs w:val="28"/>
          <w:lang w:val="uk-UA"/>
        </w:rPr>
        <w:t xml:space="preserve"> 26-28 травня 2016), 43 науково-методична конференція з інтернатури «Сучасний стан та перспективи підготовки лікарів-інтернів у Харківському національному медичному університеті» (м. Харків, 11 квітня 2017), IV Международная научно-практическая конференция «Наука и медицина: современный взгл</w:t>
      </w:r>
      <w:r w:rsidR="00706628">
        <w:rPr>
          <w:rFonts w:ascii="Times New Roman" w:hAnsi="Times New Roman"/>
          <w:sz w:val="28"/>
          <w:szCs w:val="28"/>
          <w:lang w:val="uk-UA"/>
        </w:rPr>
        <w:t>яд молодежи» (</w:t>
      </w:r>
      <w:r w:rsidR="00706628" w:rsidRPr="00706628">
        <w:rPr>
          <w:rFonts w:ascii="Times New Roman" w:hAnsi="Times New Roman"/>
          <w:sz w:val="28"/>
          <w:szCs w:val="28"/>
          <w:lang w:val="uk-UA"/>
        </w:rPr>
        <w:t>м. Алмати</w:t>
      </w:r>
      <w:r w:rsidR="00706628">
        <w:rPr>
          <w:rFonts w:ascii="Times New Roman" w:hAnsi="Times New Roman"/>
          <w:sz w:val="28"/>
          <w:szCs w:val="28"/>
          <w:lang w:val="uk-UA"/>
        </w:rPr>
        <w:t>, 20-21 квітня 2017</w:t>
      </w:r>
      <w:r w:rsidR="00706628" w:rsidRPr="00706628">
        <w:rPr>
          <w:rFonts w:ascii="Times New Roman" w:hAnsi="Times New Roman"/>
          <w:sz w:val="28"/>
          <w:szCs w:val="28"/>
          <w:lang w:val="uk-UA"/>
        </w:rPr>
        <w:t>), 6th Mediterranean Conference on Embedded Co</w:t>
      </w:r>
      <w:r w:rsidR="004338C9">
        <w:rPr>
          <w:rFonts w:ascii="Times New Roman" w:hAnsi="Times New Roman"/>
          <w:sz w:val="28"/>
          <w:szCs w:val="28"/>
          <w:lang w:val="uk-UA"/>
        </w:rPr>
        <w:t>mputing MECO’2017 (</w:t>
      </w:r>
      <w:r w:rsidR="004338C9" w:rsidRPr="00706628">
        <w:rPr>
          <w:rFonts w:ascii="Times New Roman" w:hAnsi="Times New Roman"/>
          <w:sz w:val="28"/>
          <w:szCs w:val="28"/>
          <w:lang w:val="uk-UA"/>
        </w:rPr>
        <w:t>м. Бар, Чорногорія</w:t>
      </w:r>
      <w:r w:rsidR="004338C9">
        <w:rPr>
          <w:rFonts w:ascii="Times New Roman" w:hAnsi="Times New Roman"/>
          <w:sz w:val="28"/>
          <w:szCs w:val="28"/>
          <w:lang w:val="uk-UA"/>
        </w:rPr>
        <w:t>, 11-15 червня 2017</w:t>
      </w:r>
      <w:r w:rsidR="00706628" w:rsidRPr="00706628">
        <w:rPr>
          <w:rFonts w:ascii="Times New Roman" w:hAnsi="Times New Roman"/>
          <w:sz w:val="28"/>
          <w:szCs w:val="28"/>
          <w:lang w:val="uk-UA"/>
        </w:rPr>
        <w:t>), Міжвузівська конференція молодих вчених та студентів «Медицина третього тисячоліття» (м.Харків, 20 січня 2016 р.), Second Scientific-Practical Conference “Problems of Infocommunication. Science and Technol</w:t>
      </w:r>
      <w:r w:rsidR="00706628">
        <w:rPr>
          <w:rFonts w:ascii="Times New Roman" w:hAnsi="Times New Roman"/>
          <w:sz w:val="28"/>
          <w:szCs w:val="28"/>
          <w:lang w:val="uk-UA"/>
        </w:rPr>
        <w:t>ogy” (</w:t>
      </w:r>
      <w:r w:rsidR="00706628" w:rsidRPr="00706628">
        <w:rPr>
          <w:rFonts w:ascii="Times New Roman" w:hAnsi="Times New Roman"/>
          <w:sz w:val="28"/>
          <w:szCs w:val="28"/>
          <w:lang w:val="uk-UA"/>
        </w:rPr>
        <w:t>м.Харків</w:t>
      </w:r>
      <w:r w:rsidR="00706628">
        <w:rPr>
          <w:rFonts w:ascii="Times New Roman" w:hAnsi="Times New Roman"/>
          <w:sz w:val="28"/>
          <w:szCs w:val="28"/>
          <w:lang w:val="uk-UA"/>
        </w:rPr>
        <w:t>, 13-15 жовтня 2015</w:t>
      </w:r>
      <w:r w:rsidR="00706628" w:rsidRPr="00706628">
        <w:rPr>
          <w:rFonts w:ascii="Times New Roman" w:hAnsi="Times New Roman"/>
          <w:sz w:val="28"/>
          <w:szCs w:val="28"/>
          <w:lang w:val="uk-UA"/>
        </w:rPr>
        <w:t>), XIX Міжнародний медичний конгрес студентів і молодих вчених (м.Тернопіль. 27-29 квітня 2015), НПК "Інноваційні технології у сучасній стоматології", (м.Іван</w:t>
      </w:r>
      <w:r w:rsidR="004338C9">
        <w:rPr>
          <w:rFonts w:ascii="Times New Roman" w:hAnsi="Times New Roman"/>
          <w:sz w:val="28"/>
          <w:szCs w:val="28"/>
          <w:lang w:val="uk-UA"/>
        </w:rPr>
        <w:t>о-Франківськ, 20 березня 2015)</w:t>
      </w:r>
      <w:r w:rsidR="00706628" w:rsidRPr="00706628">
        <w:rPr>
          <w:rFonts w:ascii="Times New Roman" w:hAnsi="Times New Roman"/>
          <w:sz w:val="28"/>
          <w:szCs w:val="28"/>
          <w:lang w:val="uk-UA"/>
        </w:rPr>
        <w:t>, VІІI Науково-практична конференція з міжнародною участю «Актуальні проблеми клінічної та фундаментальної медицини ISIC» (м.Харків, 14-15 травня 2015), Всеукраїнська науково-практична конференція молодих вчених і студентів з міжнародною участю «Здобутки теоретичної медицини – в практику охорони здоров'я – 2015» (м.Запоріжжя, 26-27 березня</w:t>
      </w:r>
      <w:r w:rsidR="004338C9">
        <w:rPr>
          <w:rFonts w:ascii="Times New Roman" w:hAnsi="Times New Roman"/>
          <w:sz w:val="28"/>
          <w:szCs w:val="28"/>
          <w:lang w:val="uk-UA"/>
        </w:rPr>
        <w:t xml:space="preserve"> 2015 р.</w:t>
      </w:r>
      <w:r w:rsidR="00706628" w:rsidRPr="00706628">
        <w:rPr>
          <w:rFonts w:ascii="Times New Roman" w:hAnsi="Times New Roman"/>
          <w:sz w:val="28"/>
          <w:szCs w:val="28"/>
          <w:lang w:val="uk-UA"/>
        </w:rPr>
        <w:t>), НПК «Нове та традиційне у дослідженнях сучасних представників медичної науки» (м. Львів, 27-28 лютого 2015 р).</w:t>
      </w:r>
    </w:p>
    <w:p w:rsidR="00FE5106" w:rsidRPr="00DD39D0" w:rsidRDefault="00FE5106" w:rsidP="00FE5106">
      <w:pPr>
        <w:spacing w:after="0" w:line="240" w:lineRule="auto"/>
        <w:ind w:firstLine="709"/>
        <w:jc w:val="both"/>
        <w:rPr>
          <w:rFonts w:ascii="Times New Roman" w:hAnsi="Times New Roman"/>
          <w:sz w:val="28"/>
          <w:szCs w:val="28"/>
          <w:lang w:val="uk-UA"/>
        </w:rPr>
      </w:pPr>
      <w:r w:rsidRPr="00DD39D0">
        <w:rPr>
          <w:rFonts w:ascii="Times New Roman" w:hAnsi="Times New Roman"/>
          <w:b/>
          <w:sz w:val="28"/>
          <w:szCs w:val="28"/>
          <w:lang w:val="uk-UA"/>
        </w:rPr>
        <w:t>Публікації.</w:t>
      </w:r>
      <w:r w:rsidRPr="00DD39D0">
        <w:rPr>
          <w:rFonts w:ascii="Times New Roman" w:hAnsi="Times New Roman"/>
          <w:sz w:val="28"/>
          <w:szCs w:val="28"/>
          <w:lang w:val="uk-UA"/>
        </w:rPr>
        <w:t xml:space="preserve"> За матеріалами дисертації опуб</w:t>
      </w:r>
      <w:r w:rsidR="00F5521B">
        <w:rPr>
          <w:rFonts w:ascii="Times New Roman" w:hAnsi="Times New Roman"/>
          <w:sz w:val="28"/>
          <w:szCs w:val="28"/>
          <w:lang w:val="uk-UA"/>
        </w:rPr>
        <w:t>ліковано 50 наукових праць</w:t>
      </w:r>
      <w:r w:rsidRPr="00DD39D0">
        <w:rPr>
          <w:rFonts w:ascii="Times New Roman" w:hAnsi="Times New Roman"/>
          <w:sz w:val="28"/>
          <w:szCs w:val="28"/>
          <w:lang w:val="uk-UA"/>
        </w:rPr>
        <w:t>, 29 статей у фахових наукових виданнях</w:t>
      </w:r>
      <w:r w:rsidR="000438DF">
        <w:rPr>
          <w:rFonts w:ascii="Times New Roman" w:hAnsi="Times New Roman"/>
          <w:sz w:val="28"/>
          <w:szCs w:val="28"/>
          <w:lang w:val="uk-UA"/>
        </w:rPr>
        <w:t xml:space="preserve"> (16</w:t>
      </w:r>
      <w:r>
        <w:rPr>
          <w:rFonts w:ascii="Times New Roman" w:hAnsi="Times New Roman"/>
          <w:sz w:val="28"/>
          <w:szCs w:val="28"/>
          <w:lang w:val="uk-UA"/>
        </w:rPr>
        <w:t xml:space="preserve"> одноосібно)</w:t>
      </w:r>
      <w:r w:rsidR="00CC7474">
        <w:rPr>
          <w:rFonts w:ascii="Times New Roman" w:hAnsi="Times New Roman"/>
          <w:sz w:val="28"/>
          <w:szCs w:val="28"/>
          <w:lang w:val="uk-UA"/>
        </w:rPr>
        <w:t xml:space="preserve">, </w:t>
      </w:r>
      <w:r w:rsidR="004338C9">
        <w:rPr>
          <w:rFonts w:ascii="Times New Roman" w:hAnsi="Times New Roman"/>
          <w:sz w:val="28"/>
          <w:szCs w:val="28"/>
          <w:lang w:val="uk-UA"/>
        </w:rPr>
        <w:t xml:space="preserve">з них </w:t>
      </w:r>
      <w:r w:rsidR="00CC7474">
        <w:rPr>
          <w:rFonts w:ascii="Times New Roman" w:hAnsi="Times New Roman"/>
          <w:sz w:val="28"/>
          <w:szCs w:val="28"/>
          <w:lang w:val="uk-UA"/>
        </w:rPr>
        <w:t xml:space="preserve">7 статей у міжнародних виданнях, 5 статей у виданнях, що індексуються у </w:t>
      </w:r>
      <w:r w:rsidR="00CC7474">
        <w:rPr>
          <w:rFonts w:ascii="Times New Roman" w:hAnsi="Times New Roman"/>
          <w:sz w:val="28"/>
          <w:szCs w:val="28"/>
        </w:rPr>
        <w:t>SCOPUS</w:t>
      </w:r>
      <w:r w:rsidRPr="00DD39D0">
        <w:rPr>
          <w:rFonts w:ascii="Times New Roman" w:hAnsi="Times New Roman"/>
          <w:sz w:val="28"/>
          <w:szCs w:val="28"/>
          <w:lang w:val="uk-UA"/>
        </w:rPr>
        <w:t>, два патенти України на винахід, один пате</w:t>
      </w:r>
      <w:r w:rsidR="000438DF">
        <w:rPr>
          <w:rFonts w:ascii="Times New Roman" w:hAnsi="Times New Roman"/>
          <w:sz w:val="28"/>
          <w:szCs w:val="28"/>
          <w:lang w:val="uk-UA"/>
        </w:rPr>
        <w:t>нт України на корисну модель, 18</w:t>
      </w:r>
      <w:r w:rsidRPr="00DD39D0">
        <w:rPr>
          <w:rFonts w:ascii="Times New Roman" w:hAnsi="Times New Roman"/>
          <w:sz w:val="28"/>
          <w:szCs w:val="28"/>
          <w:lang w:val="uk-UA"/>
        </w:rPr>
        <w:t xml:space="preserve"> </w:t>
      </w:r>
      <w:r>
        <w:rPr>
          <w:rFonts w:ascii="Times New Roman" w:hAnsi="Times New Roman"/>
          <w:sz w:val="28"/>
          <w:szCs w:val="28"/>
          <w:lang w:val="uk-UA"/>
        </w:rPr>
        <w:t>наукових праць у збірниках</w:t>
      </w:r>
      <w:r w:rsidR="00933DBB">
        <w:rPr>
          <w:rFonts w:ascii="Times New Roman" w:hAnsi="Times New Roman"/>
          <w:sz w:val="28"/>
          <w:szCs w:val="28"/>
          <w:lang w:val="uk-UA"/>
        </w:rPr>
        <w:t xml:space="preserve"> матеріалів</w:t>
      </w:r>
      <w:r>
        <w:rPr>
          <w:rFonts w:ascii="Times New Roman" w:hAnsi="Times New Roman"/>
          <w:sz w:val="28"/>
          <w:szCs w:val="28"/>
          <w:lang w:val="uk-UA"/>
        </w:rPr>
        <w:t xml:space="preserve"> </w:t>
      </w:r>
      <w:r w:rsidR="009661F5">
        <w:rPr>
          <w:rFonts w:ascii="Times New Roman" w:hAnsi="Times New Roman"/>
          <w:sz w:val="28"/>
          <w:szCs w:val="28"/>
          <w:lang w:val="uk-UA"/>
        </w:rPr>
        <w:t xml:space="preserve">науково-практичних </w:t>
      </w:r>
      <w:r>
        <w:rPr>
          <w:rFonts w:ascii="Times New Roman" w:hAnsi="Times New Roman"/>
          <w:sz w:val="28"/>
          <w:szCs w:val="28"/>
          <w:lang w:val="uk-UA"/>
        </w:rPr>
        <w:t>конференцій.</w:t>
      </w:r>
    </w:p>
    <w:p w:rsidR="0015280E" w:rsidRPr="00DD39D0" w:rsidRDefault="00E267F9" w:rsidP="006721D7">
      <w:pPr>
        <w:spacing w:after="0" w:line="240" w:lineRule="auto"/>
        <w:ind w:firstLine="709"/>
        <w:jc w:val="both"/>
        <w:rPr>
          <w:rFonts w:ascii="Times New Roman" w:hAnsi="Times New Roman"/>
          <w:sz w:val="28"/>
          <w:szCs w:val="28"/>
          <w:lang w:val="uk-UA"/>
        </w:rPr>
      </w:pPr>
      <w:r w:rsidRPr="00DD39D0">
        <w:rPr>
          <w:rFonts w:ascii="Times New Roman" w:hAnsi="Times New Roman"/>
          <w:b/>
          <w:sz w:val="28"/>
          <w:szCs w:val="28"/>
          <w:lang w:val="uk-UA"/>
        </w:rPr>
        <w:t>Обсяг і структура дисертації.</w:t>
      </w:r>
      <w:r w:rsidRPr="00DD39D0">
        <w:rPr>
          <w:rFonts w:ascii="Times New Roman" w:hAnsi="Times New Roman"/>
          <w:sz w:val="28"/>
          <w:szCs w:val="28"/>
          <w:lang w:val="uk-UA"/>
        </w:rPr>
        <w:t xml:space="preserve"> Дисертаційна робота викладена українською мовою, загальним</w:t>
      </w:r>
      <w:r w:rsidR="006E6952">
        <w:rPr>
          <w:rFonts w:ascii="Times New Roman" w:hAnsi="Times New Roman"/>
          <w:sz w:val="28"/>
          <w:szCs w:val="28"/>
          <w:lang w:val="uk-UA"/>
        </w:rPr>
        <w:t xml:space="preserve"> обсягом 339</w:t>
      </w:r>
      <w:r w:rsidR="00FE5106">
        <w:rPr>
          <w:rFonts w:ascii="Times New Roman" w:hAnsi="Times New Roman"/>
          <w:sz w:val="28"/>
          <w:szCs w:val="28"/>
          <w:lang w:val="uk-UA"/>
        </w:rPr>
        <w:t xml:space="preserve"> сторінок</w:t>
      </w:r>
      <w:r w:rsidRPr="00DD39D0">
        <w:rPr>
          <w:rFonts w:ascii="Times New Roman" w:hAnsi="Times New Roman"/>
          <w:sz w:val="28"/>
          <w:szCs w:val="28"/>
          <w:lang w:val="uk-UA"/>
        </w:rPr>
        <w:t xml:space="preserve">. Складається зі вступу, аналітичного огляду літератури, а також дев’яти розділів з результатами власних досліджень, аналізом та узагальненням результатів, висновків, практичних рекомендацій, </w:t>
      </w:r>
      <w:r w:rsidR="00665489" w:rsidRPr="00366D07">
        <w:rPr>
          <w:rFonts w:ascii="Times New Roman" w:hAnsi="Times New Roman"/>
          <w:sz w:val="28"/>
          <w:szCs w:val="28"/>
          <w:lang w:val="uk-UA"/>
        </w:rPr>
        <w:t xml:space="preserve">додатків, </w:t>
      </w:r>
      <w:r w:rsidRPr="00DD39D0">
        <w:rPr>
          <w:rFonts w:ascii="Times New Roman" w:hAnsi="Times New Roman"/>
          <w:sz w:val="28"/>
          <w:szCs w:val="28"/>
          <w:lang w:val="uk-UA"/>
        </w:rPr>
        <w:t>списку використа</w:t>
      </w:r>
      <w:r w:rsidR="00022295">
        <w:rPr>
          <w:rFonts w:ascii="Times New Roman" w:hAnsi="Times New Roman"/>
          <w:sz w:val="28"/>
          <w:szCs w:val="28"/>
          <w:lang w:val="uk-UA"/>
        </w:rPr>
        <w:t>ної літератури, який містить 417</w:t>
      </w:r>
      <w:r w:rsidRPr="00DD39D0">
        <w:rPr>
          <w:rFonts w:ascii="Times New Roman" w:hAnsi="Times New Roman"/>
          <w:sz w:val="28"/>
          <w:szCs w:val="28"/>
          <w:lang w:val="uk-UA"/>
        </w:rPr>
        <w:t xml:space="preserve"> джерел</w:t>
      </w:r>
      <w:r w:rsidR="00022295">
        <w:rPr>
          <w:rFonts w:ascii="Times New Roman" w:hAnsi="Times New Roman"/>
          <w:sz w:val="28"/>
          <w:szCs w:val="28"/>
          <w:lang w:val="uk-UA"/>
        </w:rPr>
        <w:t xml:space="preserve"> (205 кирилицею, 212</w:t>
      </w:r>
      <w:r w:rsidR="0047086B">
        <w:rPr>
          <w:rFonts w:ascii="Times New Roman" w:hAnsi="Times New Roman"/>
          <w:sz w:val="28"/>
          <w:szCs w:val="28"/>
          <w:lang w:val="uk-UA"/>
        </w:rPr>
        <w:t xml:space="preserve"> латиницею)</w:t>
      </w:r>
      <w:r w:rsidRPr="00DD39D0">
        <w:rPr>
          <w:rFonts w:ascii="Times New Roman" w:hAnsi="Times New Roman"/>
          <w:sz w:val="28"/>
          <w:szCs w:val="28"/>
          <w:lang w:val="uk-UA"/>
        </w:rPr>
        <w:t xml:space="preserve">. </w:t>
      </w:r>
      <w:r w:rsidR="0015280E" w:rsidRPr="00DD39D0">
        <w:rPr>
          <w:rFonts w:ascii="Times New Roman" w:hAnsi="Times New Roman"/>
          <w:sz w:val="28"/>
          <w:szCs w:val="28"/>
          <w:lang w:val="uk-UA"/>
        </w:rPr>
        <w:t xml:space="preserve">Дисертація </w:t>
      </w:r>
      <w:r w:rsidR="00366D07">
        <w:rPr>
          <w:rFonts w:ascii="Times New Roman" w:hAnsi="Times New Roman"/>
          <w:sz w:val="28"/>
          <w:szCs w:val="28"/>
          <w:lang w:val="uk-UA"/>
        </w:rPr>
        <w:t>проілюстрована 8</w:t>
      </w:r>
      <w:r w:rsidR="00366D07" w:rsidRPr="00022295">
        <w:rPr>
          <w:rFonts w:ascii="Times New Roman" w:hAnsi="Times New Roman"/>
          <w:sz w:val="28"/>
          <w:szCs w:val="28"/>
          <w:lang w:val="uk-UA"/>
        </w:rPr>
        <w:t>1</w:t>
      </w:r>
      <w:r w:rsidR="00366D07">
        <w:rPr>
          <w:rFonts w:ascii="Times New Roman" w:hAnsi="Times New Roman"/>
          <w:sz w:val="28"/>
          <w:szCs w:val="28"/>
          <w:lang w:val="uk-UA"/>
        </w:rPr>
        <w:t xml:space="preserve"> таблицею</w:t>
      </w:r>
      <w:r w:rsidR="00665489">
        <w:rPr>
          <w:rFonts w:ascii="Times New Roman" w:hAnsi="Times New Roman"/>
          <w:sz w:val="28"/>
          <w:szCs w:val="28"/>
          <w:lang w:val="uk-UA"/>
        </w:rPr>
        <w:t xml:space="preserve"> (2 сторінки)</w:t>
      </w:r>
      <w:r w:rsidR="00366D07">
        <w:rPr>
          <w:rFonts w:ascii="Times New Roman" w:hAnsi="Times New Roman"/>
          <w:sz w:val="28"/>
          <w:szCs w:val="28"/>
          <w:lang w:val="uk-UA"/>
        </w:rPr>
        <w:t xml:space="preserve"> та 31 рисунком</w:t>
      </w:r>
      <w:r w:rsidR="00665489">
        <w:rPr>
          <w:rFonts w:ascii="Times New Roman" w:hAnsi="Times New Roman"/>
          <w:sz w:val="28"/>
          <w:szCs w:val="28"/>
          <w:lang w:val="uk-UA"/>
        </w:rPr>
        <w:t xml:space="preserve"> (1 сторінка)</w:t>
      </w:r>
      <w:r w:rsidR="0015280E" w:rsidRPr="00DD39D0">
        <w:rPr>
          <w:rFonts w:ascii="Times New Roman" w:hAnsi="Times New Roman"/>
          <w:sz w:val="28"/>
          <w:szCs w:val="28"/>
          <w:lang w:val="uk-UA"/>
        </w:rPr>
        <w:t>.</w:t>
      </w:r>
    </w:p>
    <w:p w:rsidR="0015280E" w:rsidRDefault="0015280E" w:rsidP="006721D7">
      <w:pPr>
        <w:spacing w:after="0" w:line="240" w:lineRule="auto"/>
        <w:ind w:firstLine="709"/>
        <w:jc w:val="both"/>
        <w:rPr>
          <w:rFonts w:ascii="Times New Roman" w:hAnsi="Times New Roman"/>
          <w:sz w:val="28"/>
          <w:szCs w:val="28"/>
          <w:lang w:val="uk-UA"/>
        </w:rPr>
      </w:pPr>
    </w:p>
    <w:p w:rsidR="00F648E4" w:rsidRPr="00DD39D0" w:rsidRDefault="00F648E4" w:rsidP="006721D7">
      <w:pPr>
        <w:spacing w:after="0" w:line="240" w:lineRule="auto"/>
        <w:ind w:firstLine="709"/>
        <w:jc w:val="both"/>
        <w:rPr>
          <w:rFonts w:ascii="Times New Roman" w:hAnsi="Times New Roman"/>
          <w:sz w:val="28"/>
          <w:szCs w:val="28"/>
          <w:lang w:val="uk-UA"/>
        </w:rPr>
      </w:pPr>
    </w:p>
    <w:p w:rsidR="00DD39D0" w:rsidRDefault="0015280E" w:rsidP="00211525">
      <w:pPr>
        <w:spacing w:after="0" w:line="240" w:lineRule="auto"/>
        <w:ind w:firstLine="709"/>
        <w:jc w:val="center"/>
        <w:rPr>
          <w:rFonts w:ascii="Times New Roman" w:hAnsi="Times New Roman"/>
          <w:b/>
          <w:sz w:val="28"/>
          <w:szCs w:val="28"/>
          <w:lang w:val="uk-UA"/>
        </w:rPr>
      </w:pPr>
      <w:r w:rsidRPr="00DD39D0">
        <w:rPr>
          <w:rFonts w:ascii="Times New Roman" w:hAnsi="Times New Roman"/>
          <w:b/>
          <w:sz w:val="28"/>
          <w:szCs w:val="28"/>
          <w:lang w:val="uk-UA"/>
        </w:rPr>
        <w:t>ОСНОВНИЙ ЗМІСТ Р</w:t>
      </w:r>
      <w:r w:rsidR="00211525">
        <w:rPr>
          <w:rFonts w:ascii="Times New Roman" w:hAnsi="Times New Roman"/>
          <w:b/>
          <w:sz w:val="28"/>
          <w:szCs w:val="28"/>
          <w:lang w:val="uk-UA"/>
        </w:rPr>
        <w:t>ОБОТИ</w:t>
      </w:r>
    </w:p>
    <w:p w:rsidR="00211525" w:rsidRPr="00DD39D0" w:rsidRDefault="00211525" w:rsidP="00211525">
      <w:pPr>
        <w:spacing w:after="0" w:line="240" w:lineRule="auto"/>
        <w:ind w:firstLine="709"/>
        <w:jc w:val="center"/>
        <w:rPr>
          <w:rFonts w:ascii="Times New Roman" w:hAnsi="Times New Roman"/>
          <w:b/>
          <w:sz w:val="28"/>
          <w:szCs w:val="28"/>
          <w:lang w:val="uk-UA"/>
        </w:rPr>
      </w:pPr>
    </w:p>
    <w:p w:rsidR="003C57F6" w:rsidRPr="00DD39D0" w:rsidRDefault="0015280E" w:rsidP="006721D7">
      <w:pPr>
        <w:spacing w:after="0" w:line="240" w:lineRule="auto"/>
        <w:ind w:firstLine="709"/>
        <w:jc w:val="both"/>
        <w:rPr>
          <w:rFonts w:ascii="Times New Roman" w:hAnsi="Times New Roman"/>
          <w:sz w:val="28"/>
          <w:szCs w:val="28"/>
          <w:lang w:val="uk-UA"/>
        </w:rPr>
      </w:pPr>
      <w:r w:rsidRPr="00DD39D0">
        <w:rPr>
          <w:rFonts w:ascii="Times New Roman" w:hAnsi="Times New Roman"/>
          <w:b/>
          <w:sz w:val="28"/>
          <w:szCs w:val="28"/>
          <w:lang w:val="uk-UA"/>
        </w:rPr>
        <w:lastRenderedPageBreak/>
        <w:t>Матеріали та методи дослідження</w:t>
      </w:r>
      <w:r w:rsidRPr="00DD39D0">
        <w:rPr>
          <w:rFonts w:ascii="Times New Roman" w:hAnsi="Times New Roman"/>
          <w:sz w:val="28"/>
          <w:szCs w:val="28"/>
          <w:lang w:val="uk-UA"/>
        </w:rPr>
        <w:t>. Для досягнення мети та виконання поставлених завдань пі</w:t>
      </w:r>
      <w:r w:rsidR="003C57F6" w:rsidRPr="00DD39D0">
        <w:rPr>
          <w:rFonts w:ascii="Times New Roman" w:hAnsi="Times New Roman"/>
          <w:sz w:val="28"/>
          <w:szCs w:val="28"/>
          <w:lang w:val="uk-UA"/>
        </w:rPr>
        <w:t>д час дослідження було</w:t>
      </w:r>
      <w:r w:rsidRPr="00DD39D0">
        <w:rPr>
          <w:rFonts w:ascii="Times New Roman" w:hAnsi="Times New Roman"/>
          <w:sz w:val="28"/>
          <w:szCs w:val="28"/>
          <w:lang w:val="uk-UA"/>
        </w:rPr>
        <w:t xml:space="preserve"> обстежено 221 пацієнт</w:t>
      </w:r>
      <w:r w:rsidR="00F40353">
        <w:rPr>
          <w:rFonts w:ascii="Times New Roman" w:hAnsi="Times New Roman"/>
          <w:sz w:val="28"/>
          <w:szCs w:val="28"/>
          <w:lang w:val="uk-UA"/>
        </w:rPr>
        <w:t>а</w:t>
      </w:r>
      <w:r w:rsidRPr="00DD39D0">
        <w:rPr>
          <w:rFonts w:ascii="Times New Roman" w:hAnsi="Times New Roman"/>
          <w:sz w:val="28"/>
          <w:szCs w:val="28"/>
          <w:lang w:val="uk-UA"/>
        </w:rPr>
        <w:t xml:space="preserve"> дитячого віку на базі Обласної дитячої клінічної лікарні №1 м</w:t>
      </w:r>
      <w:r w:rsidR="00F40353">
        <w:rPr>
          <w:rFonts w:ascii="Times New Roman" w:hAnsi="Times New Roman"/>
          <w:sz w:val="28"/>
          <w:szCs w:val="28"/>
          <w:lang w:val="uk-UA"/>
        </w:rPr>
        <w:t>.</w:t>
      </w:r>
      <w:r w:rsidRPr="00DD39D0">
        <w:rPr>
          <w:rFonts w:ascii="Times New Roman" w:hAnsi="Times New Roman"/>
          <w:sz w:val="28"/>
          <w:szCs w:val="28"/>
          <w:lang w:val="uk-UA"/>
        </w:rPr>
        <w:t xml:space="preserve"> Харкова та Університетського стоматологічного центру Харківського національного медичного університету. На базі Обласної дитячої клін</w:t>
      </w:r>
      <w:r w:rsidR="003C57F6" w:rsidRPr="00DD39D0">
        <w:rPr>
          <w:rFonts w:ascii="Times New Roman" w:hAnsi="Times New Roman"/>
          <w:sz w:val="28"/>
          <w:szCs w:val="28"/>
          <w:lang w:val="uk-UA"/>
        </w:rPr>
        <w:t>ічної лікарні №1 було обстежено</w:t>
      </w:r>
      <w:r w:rsidR="00F40353">
        <w:rPr>
          <w:rFonts w:ascii="Times New Roman" w:hAnsi="Times New Roman"/>
          <w:sz w:val="28"/>
          <w:szCs w:val="28"/>
          <w:lang w:val="uk-UA"/>
        </w:rPr>
        <w:t xml:space="preserve"> дітей, яким був встановлений</w:t>
      </w:r>
      <w:r w:rsidRPr="00DD39D0">
        <w:rPr>
          <w:rFonts w:ascii="Times New Roman" w:hAnsi="Times New Roman"/>
          <w:sz w:val="28"/>
          <w:szCs w:val="28"/>
          <w:lang w:val="uk-UA"/>
        </w:rPr>
        <w:t xml:space="preserve"> діагноз «бронхіальна астма», «алергічний риніт», «атопічний дерматит». Даний контингент дітей склав групу дітей з атопічними захворюваннями. На базі Університетського стоматологічного центру було обстежено групу практично здорових дітей без встановленої сом</w:t>
      </w:r>
      <w:r w:rsidR="005317F8">
        <w:rPr>
          <w:rFonts w:ascii="Times New Roman" w:hAnsi="Times New Roman"/>
          <w:sz w:val="28"/>
          <w:szCs w:val="28"/>
          <w:lang w:val="uk-UA"/>
        </w:rPr>
        <w:t>атичної патології</w:t>
      </w:r>
      <w:r w:rsidRPr="00DD39D0">
        <w:rPr>
          <w:rFonts w:ascii="Times New Roman" w:hAnsi="Times New Roman"/>
          <w:sz w:val="28"/>
          <w:szCs w:val="28"/>
          <w:lang w:val="uk-UA"/>
        </w:rPr>
        <w:t>.</w:t>
      </w:r>
      <w:r w:rsidR="003C57F6" w:rsidRPr="00DD39D0">
        <w:rPr>
          <w:rFonts w:ascii="Times New Roman" w:hAnsi="Times New Roman"/>
          <w:sz w:val="28"/>
          <w:szCs w:val="28"/>
          <w:lang w:val="uk-UA"/>
        </w:rPr>
        <w:t xml:space="preserve"> </w:t>
      </w:r>
    </w:p>
    <w:p w:rsidR="00E267F9" w:rsidRPr="00366D07" w:rsidRDefault="003C57F6"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Для даного дослідження пацієнти були поділені на наступні групи: 76 пацієнтів з хронічним гінгівітом на тлі атопічних захворювань (1 група), яким було проведене запропоноване концептуально нове лікування; 50 пацієнтів без клінічних ознак запальних і запально-дистрофічних захворювань пародонту з атопічними захворюваннями (2 </w:t>
      </w:r>
      <w:r w:rsidR="001F41FE">
        <w:rPr>
          <w:rFonts w:ascii="Times New Roman" w:hAnsi="Times New Roman"/>
          <w:sz w:val="28"/>
          <w:szCs w:val="28"/>
          <w:lang w:val="uk-UA"/>
        </w:rPr>
        <w:t>група), для яких була призначена</w:t>
      </w:r>
      <w:r w:rsidRPr="00DD39D0">
        <w:rPr>
          <w:rFonts w:ascii="Times New Roman" w:hAnsi="Times New Roman"/>
          <w:sz w:val="28"/>
          <w:szCs w:val="28"/>
          <w:lang w:val="uk-UA"/>
        </w:rPr>
        <w:t xml:space="preserve"> специфічна профілактика; 30 пацієнтів з хронічним гінгівітом на тлі атопічних захворювань, до яких застосована стандартна схема лікування гінгівіту (3 група); 30 пацієнтів без клінічних ознак запальних і запально-дистрофічних захворювань пародонту з атопічними захворюваннями з застосуванням традиційних профілактичних заходів (4 група); як умовну фізіологічну норму приймали клініко-лабораторні показники 35 пацієнтів </w:t>
      </w:r>
      <w:r w:rsidR="001F41FE">
        <w:rPr>
          <w:rFonts w:ascii="Times New Roman" w:hAnsi="Times New Roman"/>
          <w:sz w:val="28"/>
          <w:szCs w:val="28"/>
          <w:lang w:val="uk-UA"/>
        </w:rPr>
        <w:t>з інтактними тканинами пародонту</w:t>
      </w:r>
      <w:r w:rsidRPr="00DD39D0">
        <w:rPr>
          <w:rFonts w:ascii="Times New Roman" w:hAnsi="Times New Roman"/>
          <w:sz w:val="28"/>
          <w:szCs w:val="28"/>
          <w:lang w:val="uk-UA"/>
        </w:rPr>
        <w:t xml:space="preserve"> без супутньої патології (5 група). </w:t>
      </w:r>
      <w:r w:rsidR="001F41FE" w:rsidRPr="00366D07">
        <w:rPr>
          <w:rFonts w:ascii="Times New Roman" w:hAnsi="Times New Roman"/>
          <w:sz w:val="28"/>
          <w:szCs w:val="28"/>
          <w:lang w:val="uk-UA"/>
        </w:rPr>
        <w:t xml:space="preserve">До дослідження були </w:t>
      </w:r>
      <w:r w:rsidR="00366D07" w:rsidRPr="00366D07">
        <w:rPr>
          <w:rFonts w:ascii="Times New Roman" w:hAnsi="Times New Roman"/>
          <w:sz w:val="28"/>
          <w:szCs w:val="28"/>
          <w:lang w:val="uk-UA"/>
        </w:rPr>
        <w:t>залучені діти від 3 до 18 років</w:t>
      </w:r>
      <w:r w:rsidR="001F41FE" w:rsidRPr="00366D07">
        <w:rPr>
          <w:rFonts w:ascii="Times New Roman" w:hAnsi="Times New Roman"/>
          <w:sz w:val="28"/>
          <w:szCs w:val="28"/>
          <w:lang w:val="uk-UA"/>
        </w:rPr>
        <w:t>. Середній вік пацієнтів у п’яти групах між собою достовірно не відрізнявся (р˂0,05).</w:t>
      </w:r>
    </w:p>
    <w:p w:rsidR="003C57F6" w:rsidRPr="00DD39D0" w:rsidRDefault="003C57F6"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Комплекс традиційних заходів у всіх групах був ідентичний і включав профілактику загальних захворювань, усунення шкідливих звичок, навчання раціональної гігієни порожнини рота, рекомендації щодо норма</w:t>
      </w:r>
      <w:r w:rsidR="00F40353">
        <w:rPr>
          <w:rFonts w:ascii="Times New Roman" w:hAnsi="Times New Roman"/>
          <w:sz w:val="28"/>
          <w:szCs w:val="28"/>
          <w:lang w:val="uk-UA"/>
        </w:rPr>
        <w:t>лізації кількісного і якісного в</w:t>
      </w:r>
      <w:r w:rsidRPr="00DD39D0">
        <w:rPr>
          <w:rFonts w:ascii="Times New Roman" w:hAnsi="Times New Roman"/>
          <w:sz w:val="28"/>
          <w:szCs w:val="28"/>
          <w:lang w:val="uk-UA"/>
        </w:rPr>
        <w:t xml:space="preserve">місту поживних речовин в раціоні. При повторних профілактичних оглядах проводили контроль за якістю виконання індивідуальних гігієнічних заходів пацієнтом, професійні заходи з гігієни порожнини рота, своєчасну санацію порожнини рота. При повторних профілактичних оглядах через 1, 3 і 6 місяців проводили контроль за якістю виконання індивідуальних гігієнічних заходів пацієнтом, професійні заходи з гігієни порожнини рота, а саме видалення зубних відкладень, своєчасну санацію порожнини рота при необхідності. </w:t>
      </w:r>
    </w:p>
    <w:p w:rsidR="003C57F6" w:rsidRPr="00DD39D0" w:rsidRDefault="003C57F6"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Запроп</w:t>
      </w:r>
      <w:r w:rsidR="005317F8">
        <w:rPr>
          <w:rFonts w:ascii="Times New Roman" w:hAnsi="Times New Roman"/>
          <w:sz w:val="28"/>
          <w:szCs w:val="28"/>
          <w:lang w:val="uk-UA"/>
        </w:rPr>
        <w:t>онована концептуально нова програма</w:t>
      </w:r>
      <w:r w:rsidRPr="00DD39D0">
        <w:rPr>
          <w:rFonts w:ascii="Times New Roman" w:hAnsi="Times New Roman"/>
          <w:sz w:val="28"/>
          <w:szCs w:val="28"/>
          <w:lang w:val="uk-UA"/>
        </w:rPr>
        <w:t xml:space="preserve"> лікування включала прийом полівалентного препарату з антигенними властивостями по 8 таблеток на добу протягом 10 днів при наявності хронічного гінгівіту</w:t>
      </w:r>
      <w:r w:rsidRPr="00DD39D0">
        <w:rPr>
          <w:rFonts w:ascii="Times New Roman" w:hAnsi="Times New Roman"/>
          <w:sz w:val="28"/>
          <w:szCs w:val="28"/>
          <w:lang w:val="ru-RU"/>
        </w:rPr>
        <w:t xml:space="preserve"> </w:t>
      </w:r>
      <w:r w:rsidRPr="00933DBB">
        <w:rPr>
          <w:rFonts w:ascii="Times New Roman" w:hAnsi="Times New Roman"/>
          <w:sz w:val="28"/>
          <w:szCs w:val="28"/>
          <w:lang w:val="ru-RU"/>
        </w:rPr>
        <w:t>(</w:t>
      </w:r>
      <w:r w:rsidRPr="00933DBB">
        <w:rPr>
          <w:rFonts w:ascii="Times New Roman" w:hAnsi="Times New Roman"/>
          <w:sz w:val="28"/>
          <w:szCs w:val="28"/>
          <w:lang w:val="uk-UA"/>
        </w:rPr>
        <w:t>«Імудон», Росія</w:t>
      </w:r>
      <w:r w:rsidRPr="00933DBB">
        <w:rPr>
          <w:rFonts w:ascii="Times New Roman" w:hAnsi="Times New Roman"/>
          <w:sz w:val="28"/>
          <w:szCs w:val="28"/>
          <w:lang w:val="ru-RU"/>
        </w:rPr>
        <w:t>)</w:t>
      </w:r>
      <w:r w:rsidRPr="00462E12">
        <w:rPr>
          <w:rFonts w:ascii="Times New Roman" w:hAnsi="Times New Roman"/>
          <w:color w:val="FF0000"/>
          <w:sz w:val="28"/>
          <w:szCs w:val="28"/>
          <w:lang w:val="ru-RU"/>
        </w:rPr>
        <w:t xml:space="preserve"> </w:t>
      </w:r>
      <w:r w:rsidRPr="00DD39D0">
        <w:rPr>
          <w:rFonts w:ascii="Times New Roman" w:hAnsi="Times New Roman"/>
          <w:sz w:val="28"/>
          <w:szCs w:val="28"/>
          <w:lang w:val="ru-RU"/>
        </w:rPr>
        <w:t>пацієнтами першої групи</w:t>
      </w:r>
      <w:r w:rsidRPr="00DD39D0">
        <w:rPr>
          <w:rFonts w:ascii="Times New Roman" w:hAnsi="Times New Roman"/>
          <w:sz w:val="28"/>
          <w:szCs w:val="28"/>
          <w:lang w:val="uk-UA"/>
        </w:rPr>
        <w:t>. У групі дітей з атопічним</w:t>
      </w:r>
      <w:r w:rsidR="00D17659">
        <w:rPr>
          <w:rFonts w:ascii="Times New Roman" w:hAnsi="Times New Roman"/>
          <w:sz w:val="28"/>
          <w:szCs w:val="28"/>
          <w:lang w:val="uk-UA"/>
        </w:rPr>
        <w:t>и</w:t>
      </w:r>
      <w:r w:rsidRPr="00DD39D0">
        <w:rPr>
          <w:rFonts w:ascii="Times New Roman" w:hAnsi="Times New Roman"/>
          <w:sz w:val="28"/>
          <w:szCs w:val="28"/>
          <w:lang w:val="uk-UA"/>
        </w:rPr>
        <w:t xml:space="preserve"> захворюваннями без виражених клінічних проявів гінгівіту (друга група) даний препарат був призначений </w:t>
      </w:r>
      <w:r w:rsidRPr="00DD39D0">
        <w:rPr>
          <w:rFonts w:ascii="Times New Roman" w:hAnsi="Times New Roman"/>
          <w:sz w:val="28"/>
          <w:szCs w:val="28"/>
          <w:lang w:val="ru-RU"/>
        </w:rPr>
        <w:t>по</w:t>
      </w:r>
      <w:r w:rsidRPr="00DD39D0">
        <w:rPr>
          <w:rFonts w:ascii="Times New Roman" w:hAnsi="Times New Roman"/>
          <w:sz w:val="28"/>
          <w:szCs w:val="28"/>
          <w:lang w:val="uk-UA"/>
        </w:rPr>
        <w:t xml:space="preserve"> 6 таблеток на добу, курс профілактичного прийому 10 днів. Пацієнтам обох груп (першої та другої) призначали полівітамінний препарат </w:t>
      </w:r>
      <w:r w:rsidRPr="00DD39D0">
        <w:rPr>
          <w:rFonts w:ascii="Times New Roman" w:hAnsi="Times New Roman"/>
          <w:sz w:val="28"/>
          <w:szCs w:val="28"/>
          <w:lang w:val="uk-UA"/>
        </w:rPr>
        <w:lastRenderedPageBreak/>
        <w:t>"Вітрум Антиоксидант» для підлітків віком 12-18 та «Вітрум Юніор» для дітей віком 6-11 (Vitrum Antioxydant, UNIPHARM, Inc. США) для корекції антиоксидантного дисбалансу протягом 1 місяця.</w:t>
      </w:r>
    </w:p>
    <w:p w:rsidR="003C57F6" w:rsidRPr="00DD39D0" w:rsidRDefault="003C57F6"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Крім того, пацієнтам першої і другої групи була призначена індивідуалізована програма гігієни порожнини рота, яка включала застосування </w:t>
      </w:r>
      <w:r w:rsidR="00F40353">
        <w:rPr>
          <w:rFonts w:ascii="Times New Roman" w:hAnsi="Times New Roman"/>
          <w:sz w:val="28"/>
          <w:szCs w:val="28"/>
          <w:lang w:val="uk-UA"/>
        </w:rPr>
        <w:t xml:space="preserve">відразу після </w:t>
      </w:r>
      <w:r w:rsidRPr="00DD39D0">
        <w:rPr>
          <w:rFonts w:ascii="Times New Roman" w:hAnsi="Times New Roman"/>
          <w:sz w:val="28"/>
          <w:szCs w:val="28"/>
          <w:lang w:val="uk-UA"/>
        </w:rPr>
        <w:t>інгаляційних</w:t>
      </w:r>
      <w:r w:rsidR="00F40353">
        <w:rPr>
          <w:rFonts w:ascii="Times New Roman" w:hAnsi="Times New Roman"/>
          <w:sz w:val="28"/>
          <w:szCs w:val="28"/>
          <w:lang w:val="uk-UA"/>
        </w:rPr>
        <w:t xml:space="preserve"> медикаментів, призначених</w:t>
      </w:r>
      <w:r w:rsidRPr="00DD39D0">
        <w:rPr>
          <w:rFonts w:ascii="Times New Roman" w:hAnsi="Times New Roman"/>
          <w:sz w:val="28"/>
          <w:szCs w:val="28"/>
          <w:lang w:val="uk-UA"/>
        </w:rPr>
        <w:t xml:space="preserve"> при аст</w:t>
      </w:r>
      <w:r w:rsidR="00F40353">
        <w:rPr>
          <w:rFonts w:ascii="Times New Roman" w:hAnsi="Times New Roman"/>
          <w:sz w:val="28"/>
          <w:szCs w:val="28"/>
          <w:lang w:val="uk-UA"/>
        </w:rPr>
        <w:t>матичному нападі або</w:t>
      </w:r>
      <w:r w:rsidRPr="00DD39D0">
        <w:rPr>
          <w:rFonts w:ascii="Times New Roman" w:hAnsi="Times New Roman"/>
          <w:sz w:val="28"/>
          <w:szCs w:val="28"/>
          <w:lang w:val="uk-UA"/>
        </w:rPr>
        <w:t xml:space="preserve"> </w:t>
      </w:r>
      <w:r w:rsidR="00F40353">
        <w:rPr>
          <w:rFonts w:ascii="Times New Roman" w:hAnsi="Times New Roman"/>
          <w:sz w:val="28"/>
          <w:szCs w:val="28"/>
          <w:lang w:val="uk-UA"/>
        </w:rPr>
        <w:t xml:space="preserve">як компонент </w:t>
      </w:r>
      <w:r w:rsidRPr="00DD39D0">
        <w:rPr>
          <w:rFonts w:ascii="Times New Roman" w:hAnsi="Times New Roman"/>
          <w:sz w:val="28"/>
          <w:szCs w:val="28"/>
          <w:lang w:val="uk-UA"/>
        </w:rPr>
        <w:t xml:space="preserve">систематичного </w:t>
      </w:r>
      <w:r w:rsidR="00F40353">
        <w:rPr>
          <w:rFonts w:ascii="Times New Roman" w:hAnsi="Times New Roman"/>
          <w:sz w:val="28"/>
          <w:szCs w:val="28"/>
          <w:lang w:val="uk-UA"/>
        </w:rPr>
        <w:t>лікування</w:t>
      </w:r>
      <w:r w:rsidRPr="00DD39D0">
        <w:rPr>
          <w:rFonts w:ascii="Times New Roman" w:hAnsi="Times New Roman"/>
          <w:sz w:val="28"/>
          <w:szCs w:val="28"/>
          <w:lang w:val="uk-UA"/>
        </w:rPr>
        <w:t xml:space="preserve">, </w:t>
      </w:r>
      <w:r w:rsidR="008B0C56" w:rsidRPr="00DD39D0">
        <w:rPr>
          <w:rFonts w:ascii="Times New Roman" w:hAnsi="Times New Roman"/>
          <w:sz w:val="28"/>
          <w:szCs w:val="28"/>
          <w:lang w:val="uk-UA"/>
        </w:rPr>
        <w:t>ополіскувача з н</w:t>
      </w:r>
      <w:r w:rsidR="008B0C56">
        <w:rPr>
          <w:rFonts w:ascii="Times New Roman" w:hAnsi="Times New Roman"/>
          <w:sz w:val="28"/>
          <w:szCs w:val="28"/>
          <w:lang w:val="uk-UA"/>
        </w:rPr>
        <w:t>ейтральним рН</w:t>
      </w:r>
      <w:r w:rsidRPr="00DD39D0">
        <w:rPr>
          <w:rFonts w:ascii="Times New Roman" w:hAnsi="Times New Roman"/>
          <w:sz w:val="28"/>
          <w:szCs w:val="28"/>
          <w:lang w:val="uk-UA"/>
        </w:rPr>
        <w:t xml:space="preserve"> «Dentaid Xeros» та гель «</w:t>
      </w:r>
      <w:r w:rsidRPr="00DD39D0">
        <w:rPr>
          <w:rFonts w:ascii="Times New Roman" w:hAnsi="Times New Roman"/>
          <w:sz w:val="28"/>
          <w:szCs w:val="28"/>
        </w:rPr>
        <w:t>Dentaid</w:t>
      </w:r>
      <w:r w:rsidRPr="00DD39D0">
        <w:rPr>
          <w:rFonts w:ascii="Times New Roman" w:hAnsi="Times New Roman"/>
          <w:sz w:val="28"/>
          <w:szCs w:val="28"/>
          <w:lang w:val="uk-UA"/>
        </w:rPr>
        <w:t xml:space="preserve"> </w:t>
      </w:r>
      <w:r w:rsidRPr="00DD39D0">
        <w:rPr>
          <w:rFonts w:ascii="Times New Roman" w:hAnsi="Times New Roman"/>
          <w:sz w:val="28"/>
          <w:szCs w:val="28"/>
        </w:rPr>
        <w:t>Xeros</w:t>
      </w:r>
      <w:r w:rsidRPr="00DD39D0">
        <w:rPr>
          <w:rFonts w:ascii="Times New Roman" w:hAnsi="Times New Roman"/>
          <w:sz w:val="28"/>
          <w:szCs w:val="28"/>
          <w:lang w:val="uk-UA"/>
        </w:rPr>
        <w:t>» (Xeros Dentaid, Іспанія)</w:t>
      </w:r>
      <w:r w:rsidR="008B0C56">
        <w:rPr>
          <w:rFonts w:ascii="Times New Roman" w:hAnsi="Times New Roman"/>
          <w:sz w:val="28"/>
          <w:szCs w:val="28"/>
          <w:lang w:val="uk-UA"/>
        </w:rPr>
        <w:t xml:space="preserve"> </w:t>
      </w:r>
      <w:r w:rsidR="008B0C56" w:rsidRPr="00DD39D0">
        <w:rPr>
          <w:rFonts w:ascii="Times New Roman" w:hAnsi="Times New Roman"/>
          <w:sz w:val="28"/>
          <w:szCs w:val="28"/>
          <w:lang w:val="uk-UA"/>
        </w:rPr>
        <w:t>при вираженій ксеростомії</w:t>
      </w:r>
      <w:r w:rsidRPr="00DD39D0">
        <w:rPr>
          <w:rFonts w:ascii="Times New Roman" w:hAnsi="Times New Roman"/>
          <w:sz w:val="28"/>
          <w:szCs w:val="28"/>
          <w:lang w:val="uk-UA"/>
        </w:rPr>
        <w:t xml:space="preserve">, які містять бетаїн, </w:t>
      </w:r>
      <w:r w:rsidR="008B0C56">
        <w:rPr>
          <w:rFonts w:ascii="Times New Roman" w:hAnsi="Times New Roman"/>
          <w:sz w:val="28"/>
          <w:szCs w:val="28"/>
          <w:lang w:val="uk-UA"/>
        </w:rPr>
        <w:t xml:space="preserve">алантоїн, </w:t>
      </w:r>
      <w:r w:rsidRPr="00DD39D0">
        <w:rPr>
          <w:rFonts w:ascii="Times New Roman" w:hAnsi="Times New Roman"/>
          <w:sz w:val="28"/>
          <w:szCs w:val="28"/>
          <w:lang w:val="uk-UA"/>
        </w:rPr>
        <w:t>ксиліт та алое вера, підбір індивідуальних засобів гігієни, зубну пасту «G.U.M Activital Q10» (</w:t>
      </w:r>
      <w:r w:rsidRPr="00DD39D0">
        <w:rPr>
          <w:rFonts w:ascii="Times New Roman" w:hAnsi="Times New Roman"/>
          <w:sz w:val="28"/>
          <w:szCs w:val="28"/>
        </w:rPr>
        <w:t>Sunstar</w:t>
      </w:r>
      <w:r w:rsidRPr="00DD39D0">
        <w:rPr>
          <w:rFonts w:ascii="Times New Roman" w:hAnsi="Times New Roman"/>
          <w:sz w:val="28"/>
          <w:szCs w:val="28"/>
          <w:lang w:val="uk-UA"/>
        </w:rPr>
        <w:t>), що містить коензим Q10 та екстракт гранату.</w:t>
      </w:r>
    </w:p>
    <w:p w:rsidR="003C57F6" w:rsidRPr="00DD39D0" w:rsidRDefault="003C57F6"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Після здійснення лік</w:t>
      </w:r>
      <w:r w:rsidR="005317F8">
        <w:rPr>
          <w:rFonts w:ascii="Times New Roman" w:hAnsi="Times New Roman"/>
          <w:sz w:val="28"/>
          <w:szCs w:val="28"/>
          <w:lang w:val="uk-UA"/>
        </w:rPr>
        <w:t>увально-профілактичних заходів відповідно до концептуально нової програми</w:t>
      </w:r>
      <w:r w:rsidRPr="00DD39D0">
        <w:rPr>
          <w:rFonts w:ascii="Times New Roman" w:hAnsi="Times New Roman"/>
          <w:sz w:val="28"/>
          <w:szCs w:val="28"/>
          <w:lang w:val="uk-UA"/>
        </w:rPr>
        <w:t xml:space="preserve">, пацієнтам першої та другої груп був здійснений </w:t>
      </w:r>
      <w:r w:rsidR="00F40353" w:rsidRPr="00DD39D0">
        <w:rPr>
          <w:rFonts w:ascii="Times New Roman" w:hAnsi="Times New Roman"/>
          <w:sz w:val="28"/>
          <w:szCs w:val="28"/>
          <w:lang w:val="uk-UA"/>
        </w:rPr>
        <w:t>моніторинг</w:t>
      </w:r>
      <w:r w:rsidRPr="00DD39D0">
        <w:rPr>
          <w:rFonts w:ascii="Times New Roman" w:hAnsi="Times New Roman"/>
          <w:sz w:val="28"/>
          <w:szCs w:val="28"/>
          <w:lang w:val="uk-UA"/>
        </w:rPr>
        <w:t xml:space="preserve"> імунометаболічних показників через 3, 6 та 12 місяців. При визначенні змін з боку імунної та/або антиоксидантної системи був призначений повторний курс імуномодулюючого препарату та/або вітамінно-антиоксидантного комплексу відповідно до виявлених порушень. У подальшому пацієнтам усіх підгруп рекомендовано візити до лікаря-стоматолога з періодичністю один раз на шість місяців з визначенням рівнів секреторного імуноглобуліну А, імуноглобуліну </w:t>
      </w:r>
      <w:r w:rsidRPr="00DD39D0">
        <w:rPr>
          <w:rFonts w:ascii="Times New Roman" w:hAnsi="Times New Roman"/>
          <w:sz w:val="28"/>
          <w:szCs w:val="28"/>
        </w:rPr>
        <w:t>G</w:t>
      </w:r>
      <w:r w:rsidRPr="00DD39D0">
        <w:rPr>
          <w:rFonts w:ascii="Times New Roman" w:hAnsi="Times New Roman"/>
          <w:sz w:val="28"/>
          <w:szCs w:val="28"/>
          <w:lang w:val="uk-UA"/>
        </w:rPr>
        <w:t xml:space="preserve"> та відновленого глутатіону у ротовій рідині та при необхідності призначення повторних курсів імунопрепаратів та/або вітамінно-антиоксидантних комплексів.</w:t>
      </w:r>
    </w:p>
    <w:p w:rsidR="003C57F6" w:rsidRPr="00DD39D0" w:rsidRDefault="003C57F6" w:rsidP="006721D7">
      <w:pPr>
        <w:spacing w:after="0" w:line="240" w:lineRule="auto"/>
        <w:ind w:firstLine="720"/>
        <w:jc w:val="both"/>
        <w:rPr>
          <w:rFonts w:ascii="Times New Roman" w:eastAsia="Times New Roman" w:hAnsi="Times New Roman"/>
          <w:bCs/>
          <w:sz w:val="28"/>
          <w:szCs w:val="28"/>
          <w:lang w:val="uk-UA" w:eastAsia="ru-RU"/>
        </w:rPr>
      </w:pPr>
      <w:r w:rsidRPr="00DD39D0">
        <w:rPr>
          <w:rFonts w:ascii="Times New Roman" w:eastAsia="Times New Roman" w:hAnsi="Times New Roman"/>
          <w:bCs/>
          <w:sz w:val="28"/>
          <w:szCs w:val="28"/>
          <w:lang w:val="uk-UA" w:eastAsia="ru-RU"/>
        </w:rPr>
        <w:t>Усі клінічні методи досліджень були виконані за єдиним алгоритмом до проведення лікування та профілактики гінгівіту у дітей основних та контрольної групи, через один, три, шість та дванадцять місяців.</w:t>
      </w:r>
    </w:p>
    <w:p w:rsidR="003C57F6" w:rsidRPr="00DD39D0" w:rsidRDefault="003C57F6" w:rsidP="006721D7">
      <w:pPr>
        <w:spacing w:after="0" w:line="240" w:lineRule="auto"/>
        <w:ind w:firstLine="709"/>
        <w:jc w:val="both"/>
        <w:rPr>
          <w:rFonts w:ascii="Times New Roman" w:hAnsi="Times New Roman"/>
          <w:sz w:val="28"/>
          <w:szCs w:val="28"/>
          <w:lang w:val="uk-UA"/>
        </w:rPr>
      </w:pPr>
      <w:r w:rsidRPr="00DD39D0">
        <w:rPr>
          <w:rFonts w:ascii="Times New Roman" w:eastAsia="Times New Roman" w:hAnsi="Times New Roman"/>
          <w:bCs/>
          <w:sz w:val="28"/>
          <w:szCs w:val="28"/>
          <w:lang w:val="uk-UA" w:eastAsia="ru-RU"/>
        </w:rPr>
        <w:t>Інтенсивність карієсу оцінювали за допомогою індексу КПВ. Для оцінювання гігієнічного стану порожнини рота використовували індекс, запропонований Гріном та Вермільйоном</w:t>
      </w:r>
      <w:r w:rsidR="005317F8">
        <w:rPr>
          <w:rFonts w:ascii="Times New Roman" w:eastAsia="Times New Roman" w:hAnsi="Times New Roman"/>
          <w:bCs/>
          <w:sz w:val="28"/>
          <w:szCs w:val="28"/>
          <w:lang w:val="uk-UA" w:eastAsia="ru-RU"/>
        </w:rPr>
        <w:t xml:space="preserve"> (1964)</w:t>
      </w:r>
      <w:r w:rsidRPr="00DD39D0">
        <w:rPr>
          <w:rFonts w:ascii="Times New Roman" w:eastAsia="Times New Roman" w:hAnsi="Times New Roman"/>
          <w:bCs/>
          <w:sz w:val="28"/>
          <w:szCs w:val="28"/>
          <w:lang w:val="uk-UA" w:eastAsia="ru-RU"/>
        </w:rPr>
        <w:t xml:space="preserve">. Для оцінювання тяжкості гінгівіту, а також для реєстрації динаміки запального процесу, використовували папілярно-маргінально-альвеолярний індекс РМА у модифікації Парма (1960). </w:t>
      </w:r>
      <w:r w:rsidRPr="00DD39D0">
        <w:rPr>
          <w:rFonts w:ascii="Times New Roman" w:hAnsi="Times New Roman"/>
          <w:sz w:val="28"/>
          <w:szCs w:val="28"/>
          <w:lang w:val="uk-UA"/>
        </w:rPr>
        <w:t>Рівень запалення ясен був оцінений за допомогою індексу кровоточивості SBI (Mühlemann and Son</w:t>
      </w:r>
      <w:r w:rsidR="005317F8" w:rsidRPr="005317F8">
        <w:rPr>
          <w:rFonts w:ascii="Times New Roman" w:hAnsi="Times New Roman"/>
          <w:sz w:val="28"/>
          <w:szCs w:val="28"/>
          <w:lang w:val="uk-UA"/>
        </w:rPr>
        <w:t>, 1971</w:t>
      </w:r>
      <w:r w:rsidRPr="00DD39D0">
        <w:rPr>
          <w:rFonts w:ascii="Times New Roman" w:hAnsi="Times New Roman"/>
          <w:sz w:val="28"/>
          <w:szCs w:val="28"/>
          <w:lang w:val="uk-UA"/>
        </w:rPr>
        <w:t xml:space="preserve">). SBI було зафіксовано на шістьох зубних поверхнях. Кислотно-лужну рівновагу визначали за допомогою вимірювання рН ротової рідини. Визначення pH ротової рідини проводили за допомогою тесту Saliva Check. </w:t>
      </w:r>
    </w:p>
    <w:p w:rsidR="003C57F6" w:rsidRPr="00DD39D0" w:rsidRDefault="003C57F6"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Клініко-лабораторні методи дослідження були проведені на базі Центральної науково-дослідної лабораторії Харківського національного медичного університету</w:t>
      </w:r>
      <w:r w:rsidR="005317F8" w:rsidRPr="005317F8">
        <w:rPr>
          <w:rFonts w:ascii="Times New Roman" w:hAnsi="Times New Roman"/>
          <w:sz w:val="28"/>
          <w:szCs w:val="28"/>
          <w:lang w:val="uk-UA"/>
        </w:rPr>
        <w:t xml:space="preserve"> (</w:t>
      </w:r>
      <w:r w:rsidR="005317F8">
        <w:rPr>
          <w:rFonts w:ascii="Times New Roman" w:hAnsi="Times New Roman"/>
          <w:sz w:val="28"/>
          <w:szCs w:val="28"/>
          <w:lang w:val="uk-UA"/>
        </w:rPr>
        <w:t xml:space="preserve">завідувач ЦНДЛ – </w:t>
      </w:r>
      <w:r w:rsidR="005317F8" w:rsidRPr="005317F8">
        <w:rPr>
          <w:rFonts w:ascii="Times New Roman" w:hAnsi="Times New Roman"/>
          <w:sz w:val="28"/>
          <w:szCs w:val="28"/>
          <w:lang w:val="uk-UA"/>
        </w:rPr>
        <w:t xml:space="preserve">к.фарм.н., с.н.с. </w:t>
      </w:r>
      <w:r w:rsidR="005317F8">
        <w:rPr>
          <w:rFonts w:ascii="Times New Roman" w:hAnsi="Times New Roman"/>
          <w:sz w:val="28"/>
          <w:szCs w:val="28"/>
          <w:lang w:val="uk-UA"/>
        </w:rPr>
        <w:t>Т.О. Іваненко</w:t>
      </w:r>
      <w:r w:rsidR="005317F8" w:rsidRPr="005317F8">
        <w:rPr>
          <w:rFonts w:ascii="Times New Roman" w:hAnsi="Times New Roman"/>
          <w:sz w:val="28"/>
          <w:szCs w:val="28"/>
          <w:lang w:val="uk-UA"/>
        </w:rPr>
        <w:t>)</w:t>
      </w:r>
      <w:r w:rsidRPr="00DD39D0">
        <w:rPr>
          <w:rFonts w:ascii="Times New Roman" w:hAnsi="Times New Roman"/>
          <w:sz w:val="28"/>
          <w:szCs w:val="28"/>
          <w:lang w:val="uk-UA"/>
        </w:rPr>
        <w:t xml:space="preserve">. Нестимульована ротова рідина була зібрана від пацієнтів з 8:00 до 12:00. Щоб уникнути варіацій у аналізах, пацієнтів просили не їсти, не пити, не виконувати гігієнічні процедури порожнини рота (чищення зубів, використання ополіскувача) за 60 хвилин до процедури збору слини. Зразки передавали у </w:t>
      </w:r>
      <w:r w:rsidRPr="00DD39D0">
        <w:rPr>
          <w:rFonts w:ascii="Times New Roman" w:hAnsi="Times New Roman"/>
          <w:sz w:val="28"/>
          <w:szCs w:val="28"/>
          <w:lang w:val="uk-UA"/>
        </w:rPr>
        <w:lastRenderedPageBreak/>
        <w:t>біохімічну лабораторію Харківського національного медичного університету, де їх зберігали при температурі -20 ° С. Ст</w:t>
      </w:r>
      <w:r w:rsidR="00D17659">
        <w:rPr>
          <w:rFonts w:ascii="Times New Roman" w:hAnsi="Times New Roman"/>
          <w:sz w:val="28"/>
          <w:szCs w:val="28"/>
          <w:lang w:val="uk-UA"/>
        </w:rPr>
        <w:t>ан прооксидантно-антиоксидантного</w:t>
      </w:r>
      <w:r w:rsidRPr="00DD39D0">
        <w:rPr>
          <w:rFonts w:ascii="Times New Roman" w:hAnsi="Times New Roman"/>
          <w:sz w:val="28"/>
          <w:szCs w:val="28"/>
          <w:lang w:val="uk-UA"/>
        </w:rPr>
        <w:t xml:space="preserve"> захисту визначали за рівнем малонового </w:t>
      </w:r>
      <w:r w:rsidR="007608DF">
        <w:rPr>
          <w:rFonts w:ascii="Times New Roman" w:hAnsi="Times New Roman"/>
          <w:sz w:val="28"/>
          <w:szCs w:val="28"/>
          <w:lang w:val="uk-UA"/>
        </w:rPr>
        <w:t>диальдегід</w:t>
      </w:r>
      <w:r w:rsidRPr="00DD39D0">
        <w:rPr>
          <w:rFonts w:ascii="Times New Roman" w:hAnsi="Times New Roman"/>
          <w:sz w:val="28"/>
          <w:szCs w:val="28"/>
          <w:lang w:val="uk-UA"/>
        </w:rPr>
        <w:t xml:space="preserve">у (МДА), каталази, глутатіону та супероксиддисмутази (СОД). Визначення рівня малонового </w:t>
      </w:r>
      <w:r w:rsidR="007608DF">
        <w:rPr>
          <w:rFonts w:ascii="Times New Roman" w:hAnsi="Times New Roman"/>
          <w:sz w:val="28"/>
          <w:szCs w:val="28"/>
          <w:lang w:val="uk-UA"/>
        </w:rPr>
        <w:t>диальдегід</w:t>
      </w:r>
      <w:r w:rsidRPr="00DD39D0">
        <w:rPr>
          <w:rFonts w:ascii="Times New Roman" w:hAnsi="Times New Roman"/>
          <w:sz w:val="28"/>
          <w:szCs w:val="28"/>
          <w:lang w:val="uk-UA"/>
        </w:rPr>
        <w:t>у проводили за методом Uchiyma M. &amp; Michara M. в модифікації Волчегорского І.А. і спі</w:t>
      </w:r>
      <w:r w:rsidR="00D17659">
        <w:rPr>
          <w:rFonts w:ascii="Times New Roman" w:hAnsi="Times New Roman"/>
          <w:sz w:val="28"/>
          <w:szCs w:val="28"/>
          <w:lang w:val="uk-UA"/>
        </w:rPr>
        <w:t>вавт. по тесту з тіобарбітуровою</w:t>
      </w:r>
      <w:r w:rsidRPr="00DD39D0">
        <w:rPr>
          <w:rFonts w:ascii="Times New Roman" w:hAnsi="Times New Roman"/>
          <w:sz w:val="28"/>
          <w:szCs w:val="28"/>
          <w:lang w:val="uk-UA"/>
        </w:rPr>
        <w:t xml:space="preserve"> кислотою (ТБК). Активність каталази визначали методом, заснованому на здатності перекису водню утворювати з солями молібдену стійкий забарвлений комплекс. Активність супероксиддисмутази визначали методом окислення кверцетину в модифікації В.А.Костюка та співавторів. Активність уреази вимірювали для визначення дисбіозу порожнини рота</w:t>
      </w:r>
      <w:r w:rsidR="001B3766" w:rsidRPr="00DD39D0">
        <w:rPr>
          <w:rFonts w:ascii="Times New Roman" w:hAnsi="Times New Roman"/>
          <w:sz w:val="28"/>
          <w:szCs w:val="28"/>
          <w:lang w:val="uk-UA"/>
        </w:rPr>
        <w:t xml:space="preserve"> за методом А.П. Левицького (2007)</w:t>
      </w:r>
      <w:r w:rsidRPr="00DD39D0">
        <w:rPr>
          <w:rFonts w:ascii="Times New Roman" w:hAnsi="Times New Roman"/>
          <w:sz w:val="28"/>
          <w:szCs w:val="28"/>
          <w:lang w:val="uk-UA"/>
        </w:rPr>
        <w:t xml:space="preserve">. Для вивчення рівню муцину аналіз проводили у лабораторних умовах за методикою Стрелец Е.В. </w:t>
      </w:r>
      <w:r w:rsidR="009E6BA6" w:rsidRPr="00DD39D0">
        <w:rPr>
          <w:rFonts w:ascii="Times New Roman" w:hAnsi="Times New Roman"/>
          <w:sz w:val="28"/>
          <w:szCs w:val="28"/>
          <w:lang w:val="uk-UA"/>
        </w:rPr>
        <w:t xml:space="preserve">Визначення активності лізоциму у ротовій рідині проводили бактеріологічним методом Горіна та співавт. в модифікації Левицького і Жігіной. Рівень секреторного імуноглобуліну А, імуноглобулінів А, </w:t>
      </w:r>
      <w:r w:rsidR="009E6BA6" w:rsidRPr="00DD39D0">
        <w:rPr>
          <w:rFonts w:ascii="Times New Roman" w:hAnsi="Times New Roman"/>
          <w:sz w:val="28"/>
          <w:szCs w:val="28"/>
        </w:rPr>
        <w:t>G</w:t>
      </w:r>
      <w:r w:rsidR="009E6BA6" w:rsidRPr="00DD39D0">
        <w:rPr>
          <w:rFonts w:ascii="Times New Roman" w:hAnsi="Times New Roman"/>
          <w:sz w:val="28"/>
          <w:szCs w:val="28"/>
          <w:lang w:val="uk-UA"/>
        </w:rPr>
        <w:t xml:space="preserve">, </w:t>
      </w:r>
      <w:r w:rsidR="009E6BA6" w:rsidRPr="00DD39D0">
        <w:rPr>
          <w:rFonts w:ascii="Times New Roman" w:hAnsi="Times New Roman"/>
          <w:sz w:val="28"/>
          <w:szCs w:val="28"/>
        </w:rPr>
        <w:t>M</w:t>
      </w:r>
      <w:r w:rsidR="009E6BA6" w:rsidRPr="00DD39D0">
        <w:rPr>
          <w:rFonts w:ascii="Times New Roman" w:hAnsi="Times New Roman"/>
          <w:sz w:val="28"/>
          <w:szCs w:val="28"/>
          <w:lang w:val="uk-UA"/>
        </w:rPr>
        <w:t xml:space="preserve"> визначали на імуноферментному аналізаторі «Лаблайн-90» з використанням комерційних набо</w:t>
      </w:r>
      <w:r w:rsidR="00933DBB">
        <w:rPr>
          <w:rFonts w:ascii="Times New Roman" w:hAnsi="Times New Roman"/>
          <w:sz w:val="28"/>
          <w:szCs w:val="28"/>
          <w:lang w:val="uk-UA"/>
        </w:rPr>
        <w:t>рів «Вектор-Бест»</w:t>
      </w:r>
      <w:r w:rsidR="009E6BA6" w:rsidRPr="00DD39D0">
        <w:rPr>
          <w:rFonts w:ascii="Times New Roman" w:hAnsi="Times New Roman"/>
          <w:sz w:val="28"/>
          <w:szCs w:val="28"/>
          <w:lang w:val="uk-UA"/>
        </w:rPr>
        <w:t xml:space="preserve"> за доданою до набору методикою. </w:t>
      </w:r>
      <w:r w:rsidRPr="00DD39D0">
        <w:rPr>
          <w:rFonts w:ascii="Times New Roman" w:hAnsi="Times New Roman"/>
          <w:sz w:val="28"/>
          <w:szCs w:val="28"/>
          <w:lang w:val="uk-UA"/>
        </w:rPr>
        <w:t xml:space="preserve">Батьки пацієнтів були проінформовані про мету та методи дослідження, була отримана письмова інформована згода. </w:t>
      </w:r>
    </w:p>
    <w:p w:rsidR="009E6BA6" w:rsidRPr="00DD39D0" w:rsidRDefault="009E6BA6" w:rsidP="006721D7">
      <w:pPr>
        <w:autoSpaceDE w:val="0"/>
        <w:autoSpaceDN w:val="0"/>
        <w:adjustRightInd w:val="0"/>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Цитоморфологічне дослідження клітин букального епітелію та ступеню конденсації хроматину були виконані за методикою Ю. Г. Шкорбатова (2012). Клітини букального епітелію були отримані вранці,</w:t>
      </w:r>
      <w:r w:rsidR="005317F8">
        <w:rPr>
          <w:rFonts w:ascii="Times New Roman" w:hAnsi="Times New Roman"/>
          <w:sz w:val="28"/>
          <w:szCs w:val="28"/>
          <w:lang w:val="uk-UA"/>
        </w:rPr>
        <w:t xml:space="preserve"> натщесерце, шляхом забору</w:t>
      </w:r>
      <w:r w:rsidRPr="00DD39D0">
        <w:rPr>
          <w:rFonts w:ascii="Times New Roman" w:hAnsi="Times New Roman"/>
          <w:sz w:val="28"/>
          <w:szCs w:val="28"/>
          <w:lang w:val="uk-UA"/>
        </w:rPr>
        <w:t xml:space="preserve"> шпателем з внутрішньої поверхні слизової оболонки щоки. Усього було досліджено 60 зразків, 30 з яких склали основну групу (група дітей з атопічними захворюваннями), 30 зразків склали контрольну групу (група дітей без атопії). Отриманий матеріал наносився на предметне скло, висушувався та маркувався, потім фарбувався 1% розчином ацетоорсеїну та досліджувався при 1000-кратному збільшенні під імерсійною системою мікроскопа (Zeiss). У кожному препараті оцінювалось 50 ядер за наступними критеріями: морфологічно незмінними вважалися ядра з добре оконтурованою оболонкою, світлою каріоплазмою, добре забарвленими глибками конденсованого хроматину.</w:t>
      </w:r>
    </w:p>
    <w:p w:rsidR="009E6BA6" w:rsidRPr="00DD39D0" w:rsidRDefault="009E6BA6" w:rsidP="006721D7">
      <w:pPr>
        <w:autoSpaceDE w:val="0"/>
        <w:autoSpaceDN w:val="0"/>
        <w:adjustRightInd w:val="0"/>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Для проведення генотипування використовували клітини букального епітелію. Всього обстежено 48 дітей віком від 6 до 18 років. Забір біоматеріалу для дослідження проводили під час стоматологічного обстеження за допомогою стерильного одноразового урогенітального зонду в індивідуальному пакуванні з маркуванням відповідно до методики. Для проведення генотипування з клітин букального епітелію виділяли ДНК за допомогою комерційного набору Diatom ™ DNA Prep 100 (Росія) відповідно до інструкції виробника. Для проведення ПЛР використовували автоматичний термоциклер «Терцик» (Росія) та комерційні набори реагентів GenPak™ PCR Core (0,5 мл) (Росія) відповідно до інструкцій виробників. Умови ПЛР: денатурація протягом 5 хв. при 94°С; 35 циклів, що складаються з денатурації протягом 20 с при 94°С, відпал праймерів </w:t>
      </w:r>
      <w:r w:rsidRPr="00DD39D0">
        <w:rPr>
          <w:rFonts w:ascii="Times New Roman" w:hAnsi="Times New Roman"/>
          <w:sz w:val="28"/>
          <w:szCs w:val="28"/>
          <w:lang w:val="uk-UA"/>
        </w:rPr>
        <w:lastRenderedPageBreak/>
        <w:t>протягом 20 с при 58°С, елонгація протягом 20 с при 72°С; остаточна елонгація протягом 10 хв при 72°С.</w:t>
      </w:r>
    </w:p>
    <w:p w:rsidR="009E6BA6" w:rsidRPr="00DD39D0" w:rsidRDefault="009E6BA6" w:rsidP="006721D7">
      <w:pPr>
        <w:spacing w:after="0" w:line="240" w:lineRule="auto"/>
        <w:ind w:firstLine="709"/>
        <w:jc w:val="both"/>
        <w:rPr>
          <w:rFonts w:ascii="Times New Roman" w:hAnsi="Times New Roman"/>
          <w:sz w:val="28"/>
          <w:szCs w:val="28"/>
          <w:lang w:val="ru-RU"/>
        </w:rPr>
      </w:pPr>
      <w:r w:rsidRPr="00DD39D0">
        <w:rPr>
          <w:rFonts w:ascii="Times New Roman" w:hAnsi="Times New Roman"/>
          <w:sz w:val="28"/>
          <w:szCs w:val="28"/>
          <w:lang w:val="uk-UA"/>
        </w:rPr>
        <w:t xml:space="preserve">Оцінка рівня гігієнічних знань та навичок школярів проводилася традиційним анкетно-опитувальним методом серед організованих популяцій, рекомендованих ВООЗ для епідеміологічних досліджень. </w:t>
      </w:r>
      <w:r w:rsidRPr="00DD39D0">
        <w:rPr>
          <w:rFonts w:ascii="Times New Roman" w:hAnsi="Times New Roman"/>
          <w:sz w:val="28"/>
          <w:szCs w:val="28"/>
          <w:lang w:val="ru-RU"/>
        </w:rPr>
        <w:t>Загальна кількість обстежених складала 156 осіб, середній вік респ</w:t>
      </w:r>
      <w:r w:rsidR="005317F8">
        <w:rPr>
          <w:rFonts w:ascii="Times New Roman" w:hAnsi="Times New Roman"/>
          <w:sz w:val="28"/>
          <w:szCs w:val="28"/>
          <w:lang w:val="ru-RU"/>
        </w:rPr>
        <w:t>ондентів склав 13,24 ± 1,41 років</w:t>
      </w:r>
      <w:r w:rsidRPr="00DD39D0">
        <w:rPr>
          <w:rFonts w:ascii="Times New Roman" w:hAnsi="Times New Roman"/>
          <w:sz w:val="28"/>
          <w:szCs w:val="28"/>
          <w:lang w:val="ru-RU"/>
        </w:rPr>
        <w:t>. Анкетування проводилося як серед дітей, у яких у анамнезі є бронхіальна астма, алергічний риніт, атопічний дерматит, так і серед дітей без анамнезу.</w:t>
      </w:r>
    </w:p>
    <w:p w:rsidR="009E6BA6" w:rsidRPr="00DD39D0" w:rsidRDefault="009E6BA6" w:rsidP="006721D7">
      <w:pPr>
        <w:autoSpaceDE w:val="0"/>
        <w:autoSpaceDN w:val="0"/>
        <w:adjustRightInd w:val="0"/>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ru-RU"/>
        </w:rPr>
        <w:t xml:space="preserve">Експериментальна частина дослідження була поставлена на 40 експериментальних тваринах (кролі-самці голландської породи у віці 3-4 місяців), яким за </w:t>
      </w:r>
      <w:r w:rsidR="00933DBB">
        <w:rPr>
          <w:rFonts w:ascii="Times New Roman" w:hAnsi="Times New Roman"/>
          <w:sz w:val="28"/>
          <w:szCs w:val="28"/>
          <w:lang w:val="ru-RU"/>
        </w:rPr>
        <w:t>методикою</w:t>
      </w:r>
      <w:r w:rsidRPr="00DD39D0">
        <w:rPr>
          <w:rFonts w:ascii="Times New Roman" w:hAnsi="Times New Roman"/>
          <w:sz w:val="28"/>
          <w:szCs w:val="28"/>
          <w:lang w:val="ru-RU"/>
        </w:rPr>
        <w:t xml:space="preserve"> Cho S. J., Kim H., Yoshida M. формували атопічну патологію. Експериментальних тварин (самці-кролі у віці 3 місяці) сенсибілізували шляхом внутрішньочеревної ін'єкції овальбуміна і гідроксиду алюмінію протягом перших 3-х днів експерименту. Через п'ять днів кролям під місцевою анестезією інтраназально вводили в два рази меншу дозу овальбуміна (8-й день) і повторювали інтраназ</w:t>
      </w:r>
      <w:r w:rsidR="00D17659">
        <w:rPr>
          <w:rFonts w:ascii="Times New Roman" w:hAnsi="Times New Roman"/>
          <w:sz w:val="28"/>
          <w:szCs w:val="28"/>
          <w:lang w:val="ru-RU"/>
        </w:rPr>
        <w:t>альне введення овальбуміна</w:t>
      </w:r>
      <w:r w:rsidRPr="00DD39D0">
        <w:rPr>
          <w:rFonts w:ascii="Times New Roman" w:hAnsi="Times New Roman"/>
          <w:sz w:val="28"/>
          <w:szCs w:val="28"/>
          <w:lang w:val="ru-RU"/>
        </w:rPr>
        <w:t xml:space="preserve"> на 16-й, 17-й, 20-й і 21-й день. Були сформовані три групи: інтактні тварини (10 тварин), група тварин з модельованою атопією (15 тварин), група тварин з модельованою атопією, яка отримувала місцеву терапію у вигляді аплікацій гел</w:t>
      </w:r>
      <w:r w:rsidR="008B0C56">
        <w:rPr>
          <w:rFonts w:ascii="Times New Roman" w:hAnsi="Times New Roman"/>
          <w:sz w:val="28"/>
          <w:szCs w:val="28"/>
          <w:lang w:val="ru-RU"/>
        </w:rPr>
        <w:t>ю, який містить бетаїн, алое вера</w:t>
      </w:r>
      <w:r w:rsidRPr="00DD39D0">
        <w:rPr>
          <w:rFonts w:ascii="Times New Roman" w:hAnsi="Times New Roman"/>
          <w:sz w:val="28"/>
          <w:szCs w:val="28"/>
          <w:lang w:val="ru-RU"/>
        </w:rPr>
        <w:t>, ксиліт («</w:t>
      </w:r>
      <w:r w:rsidRPr="00DD39D0">
        <w:rPr>
          <w:rFonts w:ascii="Times New Roman" w:hAnsi="Times New Roman"/>
          <w:sz w:val="28"/>
          <w:szCs w:val="28"/>
        </w:rPr>
        <w:t>Dentaid</w:t>
      </w:r>
      <w:r w:rsidRPr="00DD39D0">
        <w:rPr>
          <w:rFonts w:ascii="Times New Roman" w:hAnsi="Times New Roman"/>
          <w:sz w:val="28"/>
          <w:szCs w:val="28"/>
          <w:lang w:val="ru-RU"/>
        </w:rPr>
        <w:t xml:space="preserve"> </w:t>
      </w:r>
      <w:r w:rsidRPr="00DD39D0">
        <w:rPr>
          <w:rFonts w:ascii="Times New Roman" w:hAnsi="Times New Roman"/>
          <w:sz w:val="28"/>
          <w:szCs w:val="28"/>
        </w:rPr>
        <w:t>Xeros</w:t>
      </w:r>
      <w:r w:rsidRPr="00DD39D0">
        <w:rPr>
          <w:rFonts w:ascii="Times New Roman" w:hAnsi="Times New Roman"/>
          <w:sz w:val="28"/>
          <w:szCs w:val="28"/>
          <w:lang w:val="ru-RU"/>
        </w:rPr>
        <w:t>», Dentaid International</w:t>
      </w:r>
      <w:r w:rsidRPr="00DD39D0">
        <w:rPr>
          <w:rFonts w:ascii="Times New Roman" w:hAnsi="Times New Roman"/>
          <w:sz w:val="28"/>
          <w:szCs w:val="28"/>
          <w:lang w:val="uk-UA"/>
        </w:rPr>
        <w:t>, Іспанія</w:t>
      </w:r>
      <w:r w:rsidRPr="00DD39D0">
        <w:rPr>
          <w:rFonts w:ascii="Times New Roman" w:hAnsi="Times New Roman"/>
          <w:sz w:val="28"/>
          <w:szCs w:val="28"/>
          <w:lang w:val="ru-RU"/>
        </w:rPr>
        <w:t xml:space="preserve">) (15 тварин). </w:t>
      </w:r>
      <w:r w:rsidRPr="00DD39D0">
        <w:rPr>
          <w:rFonts w:ascii="Times New Roman" w:hAnsi="Times New Roman"/>
          <w:sz w:val="28"/>
          <w:szCs w:val="28"/>
          <w:lang w:val="uk-UA"/>
        </w:rPr>
        <w:t xml:space="preserve">Після виведення кролів з експерименту, тканини слизової оболонки ротової порожнини фіксували в 10% формаліні і після рутинної проводки виготовляли зрізи, які фарбували гематоксиліном і еозином, за Ван-Гізоном, ставили </w:t>
      </w:r>
      <w:r w:rsidRPr="00DD39D0">
        <w:rPr>
          <w:rFonts w:ascii="Times New Roman" w:hAnsi="Times New Roman"/>
          <w:sz w:val="28"/>
          <w:szCs w:val="28"/>
          <w:lang w:val="ru-RU"/>
        </w:rPr>
        <w:t>PAS</w:t>
      </w:r>
      <w:r w:rsidRPr="00DD39D0">
        <w:rPr>
          <w:rFonts w:ascii="Times New Roman" w:hAnsi="Times New Roman"/>
          <w:sz w:val="28"/>
          <w:szCs w:val="28"/>
          <w:lang w:val="uk-UA"/>
        </w:rPr>
        <w:t xml:space="preserve">-реакцію. </w:t>
      </w:r>
    </w:p>
    <w:p w:rsidR="009E6BA6" w:rsidRPr="00DD39D0" w:rsidRDefault="009E6BA6" w:rsidP="006721D7">
      <w:pPr>
        <w:autoSpaceDE w:val="0"/>
        <w:autoSpaceDN w:val="0"/>
        <w:adjustRightInd w:val="0"/>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Імуногістохімічне дослідження (ІГХ) проводили постановкою непрямої імунопероксидазної реакції з моноклональними антитілами (МКА) до ендотеліальної і індуцібельної фракціям </w:t>
      </w:r>
      <w:r w:rsidRPr="00DD39D0">
        <w:rPr>
          <w:rFonts w:ascii="Times New Roman" w:hAnsi="Times New Roman"/>
          <w:sz w:val="28"/>
          <w:szCs w:val="28"/>
          <w:lang w:val="ru-RU"/>
        </w:rPr>
        <w:t>NO</w:t>
      </w:r>
      <w:r w:rsidRPr="00DD39D0">
        <w:rPr>
          <w:rFonts w:ascii="Times New Roman" w:hAnsi="Times New Roman"/>
          <w:sz w:val="28"/>
          <w:szCs w:val="28"/>
          <w:lang w:val="uk-UA"/>
        </w:rPr>
        <w:t>-синтази (</w:t>
      </w:r>
      <w:r w:rsidRPr="00DD39D0">
        <w:rPr>
          <w:rFonts w:ascii="Times New Roman" w:hAnsi="Times New Roman"/>
          <w:sz w:val="28"/>
          <w:szCs w:val="28"/>
          <w:lang w:val="ru-RU"/>
        </w:rPr>
        <w:t>eNOs</w:t>
      </w:r>
      <w:r w:rsidRPr="00DD39D0">
        <w:rPr>
          <w:rFonts w:ascii="Times New Roman" w:hAnsi="Times New Roman"/>
          <w:sz w:val="28"/>
          <w:szCs w:val="28"/>
          <w:lang w:val="uk-UA"/>
        </w:rPr>
        <w:t xml:space="preserve"> і </w:t>
      </w:r>
      <w:r w:rsidRPr="00DD39D0">
        <w:rPr>
          <w:rFonts w:ascii="Times New Roman" w:hAnsi="Times New Roman"/>
          <w:sz w:val="28"/>
          <w:szCs w:val="28"/>
          <w:lang w:val="ru-RU"/>
        </w:rPr>
        <w:t>iNOs</w:t>
      </w:r>
      <w:r w:rsidRPr="00DD39D0">
        <w:rPr>
          <w:rFonts w:ascii="Times New Roman" w:hAnsi="Times New Roman"/>
          <w:sz w:val="28"/>
          <w:szCs w:val="28"/>
          <w:lang w:val="uk-UA"/>
        </w:rPr>
        <w:t xml:space="preserve"> відповідно), </w:t>
      </w:r>
      <w:r w:rsidRPr="00DD39D0">
        <w:rPr>
          <w:rFonts w:ascii="Times New Roman" w:hAnsi="Times New Roman"/>
          <w:sz w:val="28"/>
          <w:szCs w:val="28"/>
          <w:lang w:val="ru-RU"/>
        </w:rPr>
        <w:t>collagen</w:t>
      </w:r>
      <w:r w:rsidRPr="00DD39D0">
        <w:rPr>
          <w:rFonts w:ascii="Times New Roman" w:hAnsi="Times New Roman"/>
          <w:sz w:val="28"/>
          <w:szCs w:val="28"/>
          <w:lang w:val="uk-UA"/>
        </w:rPr>
        <w:t xml:space="preserve"> </w:t>
      </w:r>
      <w:r w:rsidRPr="00DD39D0">
        <w:rPr>
          <w:rFonts w:ascii="Times New Roman" w:hAnsi="Times New Roman"/>
          <w:sz w:val="28"/>
          <w:szCs w:val="28"/>
          <w:lang w:val="ru-RU"/>
        </w:rPr>
        <w:t>IV</w:t>
      </w:r>
      <w:r w:rsidRPr="00DD39D0">
        <w:rPr>
          <w:rFonts w:ascii="Times New Roman" w:hAnsi="Times New Roman"/>
          <w:sz w:val="28"/>
          <w:szCs w:val="28"/>
          <w:lang w:val="uk-UA"/>
        </w:rPr>
        <w:t xml:space="preserve">, </w:t>
      </w:r>
      <w:r w:rsidRPr="00DD39D0">
        <w:rPr>
          <w:rFonts w:ascii="Times New Roman" w:hAnsi="Times New Roman"/>
          <w:sz w:val="28"/>
          <w:szCs w:val="28"/>
          <w:lang w:val="ru-RU"/>
        </w:rPr>
        <w:t>CD</w:t>
      </w:r>
      <w:r w:rsidRPr="00DD39D0">
        <w:rPr>
          <w:rFonts w:ascii="Times New Roman" w:hAnsi="Times New Roman"/>
          <w:sz w:val="28"/>
          <w:szCs w:val="28"/>
          <w:lang w:val="uk-UA"/>
        </w:rPr>
        <w:t xml:space="preserve">3, </w:t>
      </w:r>
      <w:r w:rsidRPr="00DD39D0">
        <w:rPr>
          <w:rFonts w:ascii="Times New Roman" w:hAnsi="Times New Roman"/>
          <w:sz w:val="28"/>
          <w:szCs w:val="28"/>
          <w:lang w:val="ru-RU"/>
        </w:rPr>
        <w:t>CD</w:t>
      </w:r>
      <w:r w:rsidRPr="00DD39D0">
        <w:rPr>
          <w:rFonts w:ascii="Times New Roman" w:hAnsi="Times New Roman"/>
          <w:sz w:val="28"/>
          <w:szCs w:val="28"/>
          <w:lang w:val="uk-UA"/>
        </w:rPr>
        <w:t xml:space="preserve">30, </w:t>
      </w:r>
      <w:r w:rsidRPr="00DD39D0">
        <w:rPr>
          <w:rFonts w:ascii="Times New Roman" w:hAnsi="Times New Roman"/>
          <w:sz w:val="28"/>
          <w:szCs w:val="28"/>
          <w:lang w:val="ru-RU"/>
        </w:rPr>
        <w:t>CD</w:t>
      </w:r>
      <w:r w:rsidRPr="00DD39D0">
        <w:rPr>
          <w:rFonts w:ascii="Times New Roman" w:hAnsi="Times New Roman"/>
          <w:sz w:val="28"/>
          <w:szCs w:val="28"/>
          <w:lang w:val="uk-UA"/>
        </w:rPr>
        <w:t xml:space="preserve">20, </w:t>
      </w:r>
      <w:r w:rsidRPr="00DD39D0">
        <w:rPr>
          <w:rFonts w:ascii="Times New Roman" w:hAnsi="Times New Roman"/>
          <w:sz w:val="28"/>
          <w:szCs w:val="28"/>
          <w:lang w:val="ru-RU"/>
        </w:rPr>
        <w:t>CD</w:t>
      </w:r>
      <w:r w:rsidRPr="00DD39D0">
        <w:rPr>
          <w:rFonts w:ascii="Times New Roman" w:hAnsi="Times New Roman"/>
          <w:sz w:val="28"/>
          <w:szCs w:val="28"/>
          <w:lang w:val="uk-UA"/>
        </w:rPr>
        <w:t xml:space="preserve">23, </w:t>
      </w:r>
      <w:r w:rsidRPr="00DD39D0">
        <w:rPr>
          <w:rFonts w:ascii="Times New Roman" w:hAnsi="Times New Roman"/>
          <w:sz w:val="28"/>
          <w:szCs w:val="28"/>
          <w:lang w:val="ru-RU"/>
        </w:rPr>
        <w:t>VEGF</w:t>
      </w:r>
      <w:r w:rsidRPr="00DD39D0">
        <w:rPr>
          <w:rFonts w:ascii="Times New Roman" w:hAnsi="Times New Roman"/>
          <w:sz w:val="28"/>
          <w:szCs w:val="28"/>
          <w:lang w:val="uk-UA"/>
        </w:rPr>
        <w:t xml:space="preserve"> фірми </w:t>
      </w:r>
      <w:r w:rsidRPr="00DD39D0">
        <w:rPr>
          <w:rFonts w:ascii="Times New Roman" w:hAnsi="Times New Roman"/>
          <w:sz w:val="28"/>
          <w:szCs w:val="28"/>
          <w:lang w:val="ru-RU"/>
        </w:rPr>
        <w:t>Thermo</w:t>
      </w:r>
      <w:r w:rsidRPr="00DD39D0">
        <w:rPr>
          <w:rFonts w:ascii="Times New Roman" w:hAnsi="Times New Roman"/>
          <w:sz w:val="28"/>
          <w:szCs w:val="28"/>
          <w:lang w:val="uk-UA"/>
        </w:rPr>
        <w:t xml:space="preserve"> </w:t>
      </w:r>
      <w:r w:rsidRPr="00DD39D0">
        <w:rPr>
          <w:rFonts w:ascii="Times New Roman" w:hAnsi="Times New Roman"/>
          <w:sz w:val="28"/>
          <w:szCs w:val="28"/>
          <w:lang w:val="ru-RU"/>
        </w:rPr>
        <w:t>scientific</w:t>
      </w:r>
      <w:r w:rsidRPr="00DD39D0">
        <w:rPr>
          <w:rFonts w:ascii="Times New Roman" w:hAnsi="Times New Roman"/>
          <w:sz w:val="28"/>
          <w:szCs w:val="28"/>
          <w:lang w:val="uk-UA"/>
        </w:rPr>
        <w:t>. Специфічність рецепторі</w:t>
      </w:r>
      <w:r w:rsidR="00D17659">
        <w:rPr>
          <w:rFonts w:ascii="Times New Roman" w:hAnsi="Times New Roman"/>
          <w:sz w:val="28"/>
          <w:szCs w:val="28"/>
          <w:lang w:val="uk-UA"/>
        </w:rPr>
        <w:t>в, визначених ІГХ дослідженням</w:t>
      </w:r>
      <w:r w:rsidRPr="00DD39D0">
        <w:rPr>
          <w:rFonts w:ascii="Times New Roman" w:hAnsi="Times New Roman"/>
          <w:sz w:val="28"/>
          <w:szCs w:val="28"/>
          <w:lang w:val="uk-UA"/>
        </w:rPr>
        <w:t xml:space="preserve">. Реакція візуалізувалася за допомогою набору </w:t>
      </w:r>
      <w:r w:rsidRPr="00DD39D0">
        <w:rPr>
          <w:rFonts w:ascii="Times New Roman" w:hAnsi="Times New Roman"/>
          <w:sz w:val="28"/>
          <w:szCs w:val="28"/>
          <w:lang w:val="ru-RU"/>
        </w:rPr>
        <w:t>UltraVision</w:t>
      </w:r>
      <w:r w:rsidRPr="00DD39D0">
        <w:rPr>
          <w:rFonts w:ascii="Times New Roman" w:hAnsi="Times New Roman"/>
          <w:sz w:val="28"/>
          <w:szCs w:val="28"/>
          <w:lang w:val="uk-UA"/>
        </w:rPr>
        <w:t xml:space="preserve"> </w:t>
      </w:r>
      <w:r w:rsidRPr="00DD39D0">
        <w:rPr>
          <w:rFonts w:ascii="Times New Roman" w:hAnsi="Times New Roman"/>
          <w:sz w:val="28"/>
          <w:szCs w:val="28"/>
          <w:lang w:val="ru-RU"/>
        </w:rPr>
        <w:t>LP</w:t>
      </w:r>
      <w:r w:rsidRPr="00DD39D0">
        <w:rPr>
          <w:rFonts w:ascii="Times New Roman" w:hAnsi="Times New Roman"/>
          <w:sz w:val="28"/>
          <w:szCs w:val="28"/>
          <w:lang w:val="uk-UA"/>
        </w:rPr>
        <w:t xml:space="preserve"> </w:t>
      </w:r>
      <w:r w:rsidRPr="00DD39D0">
        <w:rPr>
          <w:rFonts w:ascii="Times New Roman" w:hAnsi="Times New Roman"/>
          <w:sz w:val="28"/>
          <w:szCs w:val="28"/>
          <w:lang w:val="ru-RU"/>
        </w:rPr>
        <w:t>Detection</w:t>
      </w:r>
      <w:r w:rsidRPr="00DD39D0">
        <w:rPr>
          <w:rFonts w:ascii="Times New Roman" w:hAnsi="Times New Roman"/>
          <w:sz w:val="28"/>
          <w:szCs w:val="28"/>
          <w:lang w:val="uk-UA"/>
        </w:rPr>
        <w:t xml:space="preserve"> </w:t>
      </w:r>
      <w:r w:rsidRPr="00DD39D0">
        <w:rPr>
          <w:rFonts w:ascii="Times New Roman" w:hAnsi="Times New Roman"/>
          <w:sz w:val="28"/>
          <w:szCs w:val="28"/>
          <w:lang w:val="ru-RU"/>
        </w:rPr>
        <w:t>System</w:t>
      </w:r>
      <w:r w:rsidRPr="00DD39D0">
        <w:rPr>
          <w:rFonts w:ascii="Times New Roman" w:hAnsi="Times New Roman"/>
          <w:sz w:val="28"/>
          <w:szCs w:val="28"/>
          <w:lang w:val="uk-UA"/>
        </w:rPr>
        <w:t xml:space="preserve"> </w:t>
      </w:r>
      <w:r w:rsidRPr="00DD39D0">
        <w:rPr>
          <w:rFonts w:ascii="Times New Roman" w:hAnsi="Times New Roman"/>
          <w:sz w:val="28"/>
          <w:szCs w:val="28"/>
          <w:lang w:val="ru-RU"/>
        </w:rPr>
        <w:t>HRP</w:t>
      </w:r>
      <w:r w:rsidRPr="00DD39D0">
        <w:rPr>
          <w:rFonts w:ascii="Times New Roman" w:hAnsi="Times New Roman"/>
          <w:sz w:val="28"/>
          <w:szCs w:val="28"/>
          <w:lang w:val="uk-UA"/>
        </w:rPr>
        <w:t xml:space="preserve"> </w:t>
      </w:r>
      <w:r w:rsidRPr="00DD39D0">
        <w:rPr>
          <w:rFonts w:ascii="Times New Roman" w:hAnsi="Times New Roman"/>
          <w:sz w:val="28"/>
          <w:szCs w:val="28"/>
          <w:lang w:val="ru-RU"/>
        </w:rPr>
        <w:t>Polymer</w:t>
      </w:r>
      <w:r w:rsidRPr="00DD39D0">
        <w:rPr>
          <w:rFonts w:ascii="Times New Roman" w:hAnsi="Times New Roman"/>
          <w:sz w:val="28"/>
          <w:szCs w:val="28"/>
          <w:lang w:val="uk-UA"/>
        </w:rPr>
        <w:t xml:space="preserve"> &amp; </w:t>
      </w:r>
      <w:r w:rsidRPr="00DD39D0">
        <w:rPr>
          <w:rFonts w:ascii="Times New Roman" w:hAnsi="Times New Roman"/>
          <w:sz w:val="28"/>
          <w:szCs w:val="28"/>
          <w:lang w:val="ru-RU"/>
        </w:rPr>
        <w:t>DAB</w:t>
      </w:r>
      <w:r w:rsidRPr="00DD39D0">
        <w:rPr>
          <w:rFonts w:ascii="Times New Roman" w:hAnsi="Times New Roman"/>
          <w:sz w:val="28"/>
          <w:szCs w:val="28"/>
          <w:lang w:val="uk-UA"/>
        </w:rPr>
        <w:t xml:space="preserve"> </w:t>
      </w:r>
      <w:r w:rsidRPr="00DD39D0">
        <w:rPr>
          <w:rFonts w:ascii="Times New Roman" w:hAnsi="Times New Roman"/>
          <w:sz w:val="28"/>
          <w:szCs w:val="28"/>
          <w:lang w:val="ru-RU"/>
        </w:rPr>
        <w:t>Plus</w:t>
      </w:r>
      <w:r w:rsidRPr="00DD39D0">
        <w:rPr>
          <w:rFonts w:ascii="Times New Roman" w:hAnsi="Times New Roman"/>
          <w:sz w:val="28"/>
          <w:szCs w:val="28"/>
          <w:lang w:val="uk-UA"/>
        </w:rPr>
        <w:t xml:space="preserve"> </w:t>
      </w:r>
      <w:r w:rsidRPr="00DD39D0">
        <w:rPr>
          <w:rFonts w:ascii="Times New Roman" w:hAnsi="Times New Roman"/>
          <w:sz w:val="28"/>
          <w:szCs w:val="28"/>
          <w:lang w:val="ru-RU"/>
        </w:rPr>
        <w:t>Chromogen</w:t>
      </w:r>
      <w:r w:rsidRPr="00DD39D0">
        <w:rPr>
          <w:rFonts w:ascii="Times New Roman" w:hAnsi="Times New Roman"/>
          <w:sz w:val="28"/>
          <w:szCs w:val="28"/>
          <w:lang w:val="uk-UA"/>
        </w:rPr>
        <w:t xml:space="preserve"> (</w:t>
      </w:r>
      <w:r w:rsidRPr="00DD39D0">
        <w:rPr>
          <w:rFonts w:ascii="Times New Roman" w:hAnsi="Times New Roman"/>
          <w:sz w:val="28"/>
          <w:szCs w:val="28"/>
          <w:lang w:val="ru-RU"/>
        </w:rPr>
        <w:t>Thermo</w:t>
      </w:r>
      <w:r w:rsidRPr="00DD39D0">
        <w:rPr>
          <w:rFonts w:ascii="Times New Roman" w:hAnsi="Times New Roman"/>
          <w:sz w:val="28"/>
          <w:szCs w:val="28"/>
          <w:lang w:val="uk-UA"/>
        </w:rPr>
        <w:t xml:space="preserve"> </w:t>
      </w:r>
      <w:r w:rsidRPr="00DD39D0">
        <w:rPr>
          <w:rFonts w:ascii="Times New Roman" w:hAnsi="Times New Roman"/>
          <w:sz w:val="28"/>
          <w:szCs w:val="28"/>
          <w:lang w:val="ru-RU"/>
        </w:rPr>
        <w:t>scientific</w:t>
      </w:r>
      <w:r w:rsidRPr="00DD39D0">
        <w:rPr>
          <w:rFonts w:ascii="Times New Roman" w:hAnsi="Times New Roman"/>
          <w:sz w:val="28"/>
          <w:szCs w:val="28"/>
          <w:lang w:val="uk-UA"/>
        </w:rPr>
        <w:t>). Виготовлення мікропрепаратів здійснювали на кафедрі патологічної анатомії Харківської медичної академії післядипломної освіти</w:t>
      </w:r>
      <w:r w:rsidR="005317F8">
        <w:rPr>
          <w:rFonts w:ascii="Times New Roman" w:hAnsi="Times New Roman"/>
          <w:sz w:val="28"/>
          <w:szCs w:val="28"/>
          <w:lang w:val="uk-UA"/>
        </w:rPr>
        <w:t xml:space="preserve"> (завідувач кафедри – проф., д.мед.н. І.І.Яковцова)</w:t>
      </w:r>
      <w:r w:rsidRPr="00DD39D0">
        <w:rPr>
          <w:rFonts w:ascii="Times New Roman" w:hAnsi="Times New Roman"/>
          <w:sz w:val="28"/>
          <w:szCs w:val="28"/>
          <w:lang w:val="uk-UA"/>
        </w:rPr>
        <w:t>.</w:t>
      </w:r>
    </w:p>
    <w:p w:rsidR="00D4602C" w:rsidRPr="00DD39D0" w:rsidRDefault="004E3186" w:rsidP="006721D7">
      <w:pPr>
        <w:spacing w:after="0" w:line="240" w:lineRule="auto"/>
        <w:ind w:firstLine="709"/>
        <w:jc w:val="both"/>
        <w:rPr>
          <w:rFonts w:ascii="Times New Roman" w:hAnsi="Times New Roman"/>
          <w:sz w:val="28"/>
          <w:szCs w:val="28"/>
          <w:lang w:val="uk-UA"/>
        </w:rPr>
      </w:pPr>
      <w:r w:rsidRPr="00DD39D0">
        <w:rPr>
          <w:rFonts w:ascii="Times New Roman" w:hAnsi="Times New Roman"/>
          <w:b/>
          <w:sz w:val="28"/>
          <w:szCs w:val="28"/>
          <w:lang w:val="uk-UA"/>
        </w:rPr>
        <w:t>Результати власних досліджень.</w:t>
      </w:r>
      <w:r w:rsidRPr="00DD39D0">
        <w:rPr>
          <w:rFonts w:ascii="Times New Roman" w:hAnsi="Times New Roman"/>
          <w:sz w:val="28"/>
          <w:szCs w:val="28"/>
          <w:lang w:val="uk-UA"/>
        </w:rPr>
        <w:t xml:space="preserve"> </w:t>
      </w:r>
      <w:r w:rsidR="00C41A61" w:rsidRPr="00DD39D0">
        <w:rPr>
          <w:rFonts w:ascii="Times New Roman" w:hAnsi="Times New Roman"/>
          <w:sz w:val="28"/>
          <w:szCs w:val="28"/>
          <w:lang w:val="uk-UA"/>
        </w:rPr>
        <w:t xml:space="preserve">При мікроскопічному дослідженні гістологічних препаратів забарвлених гематоксиліном і еозином, встановлено, що в результаті проведених маніпуляцій в слизовій оболонці ротової порожнини </w:t>
      </w:r>
      <w:r w:rsidR="00D17659">
        <w:rPr>
          <w:rFonts w:ascii="Times New Roman" w:hAnsi="Times New Roman"/>
          <w:sz w:val="28"/>
          <w:szCs w:val="28"/>
          <w:lang w:val="uk-UA"/>
        </w:rPr>
        <w:t xml:space="preserve">дослідних тварин </w:t>
      </w:r>
      <w:r w:rsidR="00C41A61" w:rsidRPr="00DD39D0">
        <w:rPr>
          <w:rFonts w:ascii="Times New Roman" w:hAnsi="Times New Roman"/>
          <w:sz w:val="28"/>
          <w:szCs w:val="28"/>
          <w:lang w:val="uk-UA"/>
        </w:rPr>
        <w:t>сформований комплекс патологічних змін. В епітелії відзначається нерівномірність товщини плоскоклітинного шару з наявністю інтраепітеліальних лімфоцитів, еозинофілів, вогнищеви</w:t>
      </w:r>
      <w:r w:rsidR="00D17659">
        <w:rPr>
          <w:rFonts w:ascii="Times New Roman" w:hAnsi="Times New Roman"/>
          <w:sz w:val="28"/>
          <w:szCs w:val="28"/>
          <w:lang w:val="uk-UA"/>
        </w:rPr>
        <w:t>х ерозивних ушкоджень</w:t>
      </w:r>
      <w:r w:rsidR="00C41A61" w:rsidRPr="00DD39D0">
        <w:rPr>
          <w:rFonts w:ascii="Times New Roman" w:hAnsi="Times New Roman"/>
          <w:sz w:val="28"/>
          <w:szCs w:val="28"/>
          <w:lang w:val="uk-UA"/>
        </w:rPr>
        <w:t xml:space="preserve">, чергуванням ділянок атрофії, некрозу, проліферації. Товщина плоскоклітинного епітелію неоднорідна, спостерігаються як ділянки його </w:t>
      </w:r>
      <w:r w:rsidR="00C41A61" w:rsidRPr="00DD39D0">
        <w:rPr>
          <w:rFonts w:ascii="Times New Roman" w:hAnsi="Times New Roman"/>
          <w:sz w:val="28"/>
          <w:szCs w:val="28"/>
          <w:lang w:val="uk-UA"/>
        </w:rPr>
        <w:lastRenderedPageBreak/>
        <w:t xml:space="preserve">потоншення до одного-двох рядів клітин, так і нерівномірного потовщення. </w:t>
      </w:r>
      <w:r w:rsidR="00D4602C" w:rsidRPr="00DD39D0">
        <w:rPr>
          <w:rFonts w:ascii="Times New Roman" w:hAnsi="Times New Roman"/>
          <w:sz w:val="28"/>
          <w:szCs w:val="28"/>
          <w:lang w:val="uk-UA"/>
        </w:rPr>
        <w:t>Проведення цитофотометрії вказує на показники накопичення ендотеліальної NO-синтази в стінці судин на рівні 0,79±0,11 ум.од., у периваскулярному просторі 0,27±0,04 ум.од.</w:t>
      </w:r>
    </w:p>
    <w:p w:rsidR="00D4602C" w:rsidRPr="00DD39D0" w:rsidRDefault="00D4602C"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Рівень активності eNOs достовірно не відрізняється в судинній стінці різних груп тварин, в той час як позасудинна локалізація eNOs достовірно ви</w:t>
      </w:r>
      <w:r w:rsidR="00D17659">
        <w:rPr>
          <w:rFonts w:ascii="Times New Roman" w:hAnsi="Times New Roman"/>
          <w:sz w:val="28"/>
          <w:szCs w:val="28"/>
          <w:lang w:val="uk-UA"/>
        </w:rPr>
        <w:t>ще в групі тварин з модельованою</w:t>
      </w:r>
      <w:r w:rsidRPr="00DD39D0">
        <w:rPr>
          <w:rFonts w:ascii="Times New Roman" w:hAnsi="Times New Roman"/>
          <w:sz w:val="28"/>
          <w:szCs w:val="28"/>
          <w:lang w:val="uk-UA"/>
        </w:rPr>
        <w:t xml:space="preserve"> атопією</w:t>
      </w:r>
      <w:r w:rsidR="00C41A61" w:rsidRPr="00DD39D0">
        <w:rPr>
          <w:rFonts w:ascii="Times New Roman" w:hAnsi="Times New Roman"/>
          <w:sz w:val="28"/>
          <w:szCs w:val="28"/>
          <w:lang w:val="uk-UA"/>
        </w:rPr>
        <w:t>.</w:t>
      </w:r>
      <w:r w:rsidRPr="00DD39D0">
        <w:rPr>
          <w:rFonts w:ascii="Times New Roman" w:hAnsi="Times New Roman"/>
          <w:sz w:val="28"/>
          <w:szCs w:val="28"/>
          <w:lang w:val="uk-UA"/>
        </w:rPr>
        <w:t xml:space="preserve"> У власній пластинці слизової найбільша активність iNOs виявляється в уражених зонах, тобто у фокусах периваскулярних запальних мікроінфільтратів; ступінь інтенсивності імунореактивності пов'язана з кількісним і якісним складом клітинного інфільтрату в тканинах при атопії.</w:t>
      </w:r>
    </w:p>
    <w:p w:rsidR="00D4602C" w:rsidRPr="00DD39D0" w:rsidRDefault="00D4602C"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При типуванні</w:t>
      </w:r>
      <w:r w:rsidR="00C41A61" w:rsidRPr="00DD39D0">
        <w:rPr>
          <w:rFonts w:ascii="Times New Roman" w:hAnsi="Times New Roman"/>
          <w:sz w:val="28"/>
          <w:szCs w:val="28"/>
          <w:lang w:val="uk-UA"/>
        </w:rPr>
        <w:t xml:space="preserve"> клітинних елементів</w:t>
      </w:r>
      <w:r w:rsidRPr="00DD39D0">
        <w:rPr>
          <w:rFonts w:ascii="Times New Roman" w:hAnsi="Times New Roman"/>
          <w:sz w:val="28"/>
          <w:szCs w:val="28"/>
          <w:lang w:val="uk-UA"/>
        </w:rPr>
        <w:t xml:space="preserve"> виявилося, що практично всі інтраепітеліальні запальні клітини позитивні до CD23. У власній пластинці слизової переважна більшість клітинних елементів також була імунопозитивною до CD23, при цьому щільність клітин з ядерним фарбуванням CD23 виявилася в 7,7 раз вище у групі тварин з атопією, ніж у інтактних тварин.</w:t>
      </w:r>
    </w:p>
    <w:p w:rsidR="00D4602C" w:rsidRPr="00DD39D0" w:rsidRDefault="00D4602C"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При зіставленні результатів ІГХ з eNOs, iNOs, CD23, CD20 найбільш виражена кореляція виявляється між CD23 і CD20 (r = 0,89), iNOs і CD23 (r = 0,85), iNOs і CD20 (r = 0,87).</w:t>
      </w:r>
    </w:p>
    <w:p w:rsidR="00D4602C" w:rsidRPr="00DD39D0" w:rsidRDefault="00C41A61"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Описані нами морфологічні зміни в тканинах слизової оболонки ротової порожнини прийнято розглядати як прояви атопічного процесу з розвитком запальних, дистрофічних, дисциркуляторних процесів, метаболічних розладів, </w:t>
      </w:r>
      <w:r w:rsidR="00AE1C43">
        <w:rPr>
          <w:rFonts w:ascii="Times New Roman" w:hAnsi="Times New Roman"/>
          <w:sz w:val="28"/>
          <w:szCs w:val="28"/>
          <w:lang w:val="uk-UA"/>
        </w:rPr>
        <w:t>у патогенезі</w:t>
      </w:r>
      <w:r w:rsidRPr="00DD39D0">
        <w:rPr>
          <w:rFonts w:ascii="Times New Roman" w:hAnsi="Times New Roman"/>
          <w:sz w:val="28"/>
          <w:szCs w:val="28"/>
          <w:lang w:val="uk-UA"/>
        </w:rPr>
        <w:t xml:space="preserve"> яких бере активну участь порушення обміну оксиду азоту, що може служити обґрунтуванням для подальшого ретельного вивчення антиоксидантного статусу та розробки профілактични</w:t>
      </w:r>
      <w:r w:rsidR="00AE1C43">
        <w:rPr>
          <w:rFonts w:ascii="Times New Roman" w:hAnsi="Times New Roman"/>
          <w:sz w:val="28"/>
          <w:szCs w:val="28"/>
          <w:lang w:val="uk-UA"/>
        </w:rPr>
        <w:t>х заходів у хворих на атопічні захворювання</w:t>
      </w:r>
      <w:r w:rsidRPr="00DD39D0">
        <w:rPr>
          <w:rFonts w:ascii="Times New Roman" w:hAnsi="Times New Roman"/>
          <w:sz w:val="28"/>
          <w:szCs w:val="28"/>
          <w:lang w:val="uk-UA"/>
        </w:rPr>
        <w:t xml:space="preserve">, </w:t>
      </w:r>
      <w:r w:rsidR="00407774">
        <w:rPr>
          <w:rFonts w:ascii="Times New Roman" w:hAnsi="Times New Roman"/>
          <w:sz w:val="28"/>
          <w:szCs w:val="28"/>
          <w:lang w:val="uk-UA"/>
        </w:rPr>
        <w:t>направленими на корекцію</w:t>
      </w:r>
      <w:r w:rsidRPr="00DD39D0">
        <w:rPr>
          <w:rFonts w:ascii="Times New Roman" w:hAnsi="Times New Roman"/>
          <w:sz w:val="28"/>
          <w:szCs w:val="28"/>
          <w:lang w:val="uk-UA"/>
        </w:rPr>
        <w:t xml:space="preserve"> антиоксидантного дисбалансу.</w:t>
      </w:r>
    </w:p>
    <w:p w:rsidR="004D500C" w:rsidRPr="00DD39D0" w:rsidRDefault="00E1492C" w:rsidP="004D50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Результати клінічних досліджень представлені параметрами, які комплексно характеризують стоматологічний статус пацієнтів з атопічними захворюваннями при застосуванні концептуально нової програми лікування та профілактики гінгівіту та при застосуванні традиційної програми. </w:t>
      </w:r>
      <w:r w:rsidR="00DF0D7B" w:rsidRPr="00DD39D0">
        <w:rPr>
          <w:rFonts w:ascii="Times New Roman" w:hAnsi="Times New Roman"/>
          <w:sz w:val="28"/>
          <w:szCs w:val="28"/>
          <w:lang w:val="uk-UA"/>
        </w:rPr>
        <w:t xml:space="preserve">Як показали результати дослідження, середній рівень запалення тканин пародонту згідно з індексом </w:t>
      </w:r>
      <w:r w:rsidR="00DF0D7B" w:rsidRPr="00DD39D0">
        <w:rPr>
          <w:rFonts w:ascii="Times New Roman" w:hAnsi="Times New Roman"/>
          <w:sz w:val="28"/>
          <w:szCs w:val="28"/>
        </w:rPr>
        <w:t>SBI</w:t>
      </w:r>
      <w:r w:rsidR="00DF0D7B" w:rsidRPr="00DD39D0">
        <w:rPr>
          <w:rFonts w:ascii="Times New Roman" w:hAnsi="Times New Roman"/>
          <w:sz w:val="28"/>
          <w:szCs w:val="28"/>
          <w:lang w:val="uk-UA"/>
        </w:rPr>
        <w:t xml:space="preserve"> у групах дітей з атопічними захворюваннями та без таких достовірно відрізнявся та склав 2.11 ± 0.22 бали та 0.48 ± 0.21 бали відповідно. Середній рівень індексу </w:t>
      </w:r>
      <w:r w:rsidR="00DF0D7B" w:rsidRPr="00DD39D0">
        <w:rPr>
          <w:rFonts w:ascii="Times New Roman" w:hAnsi="Times New Roman"/>
          <w:sz w:val="28"/>
          <w:szCs w:val="28"/>
        </w:rPr>
        <w:t>SBI</w:t>
      </w:r>
      <w:r w:rsidR="00DF0D7B" w:rsidRPr="00DD39D0">
        <w:rPr>
          <w:rFonts w:ascii="Times New Roman" w:hAnsi="Times New Roman"/>
          <w:sz w:val="28"/>
          <w:szCs w:val="28"/>
          <w:lang w:val="ru-RU"/>
        </w:rPr>
        <w:t xml:space="preserve"> </w:t>
      </w:r>
      <w:r w:rsidR="00DF0D7B" w:rsidRPr="00DD39D0">
        <w:rPr>
          <w:rFonts w:ascii="Times New Roman" w:hAnsi="Times New Roman"/>
          <w:sz w:val="28"/>
          <w:szCs w:val="28"/>
          <w:lang w:val="uk-UA"/>
        </w:rPr>
        <w:t xml:space="preserve">у першій групі дітей складав 3,42 ± 0,42 бали. Аналіз показників у динаміці, через 1 місяць показав покращення стану тканин пародонту, що проявлялося у ліквідації ознак запалення, при цьому індекс </w:t>
      </w:r>
      <w:r w:rsidR="00DF0D7B" w:rsidRPr="00DD39D0">
        <w:rPr>
          <w:rFonts w:ascii="Times New Roman" w:hAnsi="Times New Roman"/>
          <w:sz w:val="28"/>
          <w:szCs w:val="28"/>
        </w:rPr>
        <w:t>SBI</w:t>
      </w:r>
      <w:r w:rsidR="00DF0D7B" w:rsidRPr="00DD39D0">
        <w:rPr>
          <w:rFonts w:ascii="Times New Roman" w:hAnsi="Times New Roman"/>
          <w:sz w:val="28"/>
          <w:szCs w:val="28"/>
          <w:lang w:val="uk-UA"/>
        </w:rPr>
        <w:t xml:space="preserve"> дорівнював 0,11 ± 0,35 бали. Динаміку показників індексу </w:t>
      </w:r>
      <w:r w:rsidR="00DF0D7B" w:rsidRPr="00DD39D0">
        <w:rPr>
          <w:rFonts w:ascii="Times New Roman" w:hAnsi="Times New Roman"/>
          <w:sz w:val="28"/>
          <w:szCs w:val="28"/>
        </w:rPr>
        <w:t>SBI</w:t>
      </w:r>
      <w:r w:rsidR="00DF0D7B" w:rsidRPr="00DD39D0">
        <w:rPr>
          <w:rFonts w:ascii="Times New Roman" w:hAnsi="Times New Roman"/>
          <w:sz w:val="28"/>
          <w:szCs w:val="28"/>
          <w:lang w:val="uk-UA"/>
        </w:rPr>
        <w:t xml:space="preserve"> ми спостерігали протягом року, через три місяці індекс</w:t>
      </w:r>
      <w:r w:rsidR="002A16CA" w:rsidRPr="00DD39D0">
        <w:rPr>
          <w:rFonts w:ascii="Times New Roman" w:hAnsi="Times New Roman"/>
          <w:sz w:val="28"/>
          <w:szCs w:val="28"/>
          <w:lang w:val="uk-UA"/>
        </w:rPr>
        <w:t xml:space="preserve"> </w:t>
      </w:r>
      <w:r w:rsidR="002A16CA" w:rsidRPr="00DD39D0">
        <w:rPr>
          <w:rFonts w:ascii="Times New Roman" w:hAnsi="Times New Roman"/>
          <w:sz w:val="28"/>
          <w:szCs w:val="28"/>
        </w:rPr>
        <w:t>SBI</w:t>
      </w:r>
      <w:r w:rsidR="00DF0D7B" w:rsidRPr="00DD39D0">
        <w:rPr>
          <w:rFonts w:ascii="Times New Roman" w:hAnsi="Times New Roman"/>
          <w:sz w:val="28"/>
          <w:szCs w:val="28"/>
          <w:lang w:val="uk-UA"/>
        </w:rPr>
        <w:t xml:space="preserve"> дорівнював 0,16 ± 0,21 балам, через шість місяців 0,19 ± 0,28 балам, через дванадцять місяців 0,17 ± 0,14 балам</w:t>
      </w:r>
      <w:r w:rsidR="002A16CA" w:rsidRPr="00DD39D0">
        <w:rPr>
          <w:rFonts w:ascii="Times New Roman" w:hAnsi="Times New Roman"/>
          <w:sz w:val="28"/>
          <w:szCs w:val="28"/>
          <w:lang w:val="uk-UA"/>
        </w:rPr>
        <w:t xml:space="preserve"> (таблиця 1)</w:t>
      </w:r>
      <w:r w:rsidR="00DF0D7B" w:rsidRPr="00DD39D0">
        <w:rPr>
          <w:rFonts w:ascii="Times New Roman" w:hAnsi="Times New Roman"/>
          <w:sz w:val="28"/>
          <w:szCs w:val="28"/>
          <w:lang w:val="uk-UA"/>
        </w:rPr>
        <w:t>.</w:t>
      </w:r>
      <w:r w:rsidR="002A16CA" w:rsidRPr="00DD39D0">
        <w:rPr>
          <w:rFonts w:ascii="Times New Roman" w:hAnsi="Times New Roman"/>
          <w:sz w:val="28"/>
          <w:szCs w:val="28"/>
          <w:lang w:val="uk-UA"/>
        </w:rPr>
        <w:t xml:space="preserve"> </w:t>
      </w:r>
    </w:p>
    <w:p w:rsidR="00DF0D7B" w:rsidRPr="00DD39D0" w:rsidRDefault="00DF0D7B" w:rsidP="007F028B">
      <w:pPr>
        <w:spacing w:after="120" w:line="240" w:lineRule="auto"/>
        <w:ind w:firstLine="709"/>
        <w:jc w:val="right"/>
        <w:rPr>
          <w:rFonts w:ascii="Times New Roman" w:hAnsi="Times New Roman"/>
          <w:i/>
          <w:sz w:val="28"/>
          <w:szCs w:val="28"/>
          <w:lang w:val="uk-UA"/>
        </w:rPr>
      </w:pPr>
      <w:r w:rsidRPr="00DD39D0">
        <w:rPr>
          <w:rFonts w:ascii="Times New Roman" w:hAnsi="Times New Roman"/>
          <w:i/>
          <w:sz w:val="28"/>
          <w:szCs w:val="28"/>
          <w:lang w:val="uk-UA"/>
        </w:rPr>
        <w:t>Таблиця 1</w:t>
      </w:r>
    </w:p>
    <w:p w:rsidR="00DF0D7B" w:rsidRPr="0047086B" w:rsidRDefault="00DF0D7B" w:rsidP="007F028B">
      <w:pPr>
        <w:spacing w:after="120" w:line="240" w:lineRule="auto"/>
        <w:ind w:firstLine="709"/>
        <w:jc w:val="center"/>
        <w:rPr>
          <w:rFonts w:ascii="Times New Roman" w:hAnsi="Times New Roman"/>
          <w:b/>
          <w:sz w:val="28"/>
          <w:szCs w:val="28"/>
          <w:lang w:val="uk-UA"/>
        </w:rPr>
      </w:pPr>
      <w:r w:rsidRPr="0047086B">
        <w:rPr>
          <w:rFonts w:ascii="Times New Roman" w:hAnsi="Times New Roman"/>
          <w:b/>
          <w:sz w:val="28"/>
          <w:szCs w:val="28"/>
          <w:lang w:val="uk-UA"/>
        </w:rPr>
        <w:lastRenderedPageBreak/>
        <w:t xml:space="preserve">Показники індексу </w:t>
      </w:r>
      <w:r w:rsidRPr="0047086B">
        <w:rPr>
          <w:rFonts w:ascii="Times New Roman" w:hAnsi="Times New Roman"/>
          <w:b/>
          <w:sz w:val="28"/>
          <w:szCs w:val="28"/>
        </w:rPr>
        <w:t>SBI</w:t>
      </w:r>
      <w:r w:rsidRPr="0047086B">
        <w:rPr>
          <w:rFonts w:ascii="Times New Roman" w:hAnsi="Times New Roman"/>
          <w:b/>
          <w:sz w:val="28"/>
          <w:szCs w:val="28"/>
          <w:lang w:val="ru-RU"/>
        </w:rPr>
        <w:t xml:space="preserve"> </w:t>
      </w:r>
      <w:r w:rsidRPr="0047086B">
        <w:rPr>
          <w:rFonts w:ascii="Times New Roman" w:hAnsi="Times New Roman"/>
          <w:b/>
          <w:sz w:val="28"/>
          <w:szCs w:val="28"/>
          <w:lang w:val="uk-UA"/>
        </w:rPr>
        <w:t>у динаміці</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1418"/>
        <w:gridCol w:w="1417"/>
        <w:gridCol w:w="1418"/>
        <w:gridCol w:w="1417"/>
        <w:gridCol w:w="1483"/>
      </w:tblGrid>
      <w:tr w:rsidR="00DF0D7B" w:rsidRPr="008C1635" w:rsidTr="00CE785D">
        <w:trPr>
          <w:trHeight w:val="471"/>
          <w:jc w:val="center"/>
        </w:trPr>
        <w:tc>
          <w:tcPr>
            <w:tcW w:w="1838" w:type="dxa"/>
            <w:vMerge w:val="restart"/>
            <w:shd w:val="clear" w:color="auto" w:fill="auto"/>
          </w:tcPr>
          <w:p w:rsidR="00DF0D7B" w:rsidRPr="008C1635" w:rsidRDefault="00DF0D7B" w:rsidP="006721D7">
            <w:pPr>
              <w:spacing w:after="0" w:line="240" w:lineRule="auto"/>
              <w:ind w:hanging="5"/>
              <w:jc w:val="center"/>
              <w:rPr>
                <w:rFonts w:ascii="Times New Roman" w:hAnsi="Times New Roman"/>
                <w:sz w:val="28"/>
                <w:szCs w:val="28"/>
                <w:lang w:val="uk-UA"/>
              </w:rPr>
            </w:pPr>
            <w:r w:rsidRPr="008C1635">
              <w:rPr>
                <w:rFonts w:ascii="Times New Roman" w:hAnsi="Times New Roman"/>
                <w:sz w:val="28"/>
                <w:szCs w:val="28"/>
                <w:lang w:val="uk-UA"/>
              </w:rPr>
              <w:t>Строк спостереження</w:t>
            </w:r>
          </w:p>
        </w:tc>
        <w:tc>
          <w:tcPr>
            <w:tcW w:w="7153" w:type="dxa"/>
            <w:gridSpan w:val="5"/>
            <w:shd w:val="clear" w:color="auto" w:fill="auto"/>
          </w:tcPr>
          <w:p w:rsidR="00DF0D7B" w:rsidRPr="008C1635" w:rsidRDefault="00DF0D7B" w:rsidP="006721D7">
            <w:pPr>
              <w:spacing w:after="0" w:line="240" w:lineRule="auto"/>
              <w:ind w:firstLine="709"/>
              <w:jc w:val="center"/>
              <w:rPr>
                <w:rFonts w:ascii="Times New Roman" w:hAnsi="Times New Roman"/>
                <w:sz w:val="28"/>
                <w:szCs w:val="28"/>
                <w:lang w:val="uk-UA"/>
              </w:rPr>
            </w:pPr>
            <w:r w:rsidRPr="008C1635">
              <w:rPr>
                <w:rFonts w:ascii="Times New Roman" w:hAnsi="Times New Roman"/>
                <w:sz w:val="28"/>
                <w:szCs w:val="28"/>
                <w:lang w:val="uk-UA"/>
              </w:rPr>
              <w:t xml:space="preserve">Індекс </w:t>
            </w:r>
            <w:r w:rsidRPr="008C1635">
              <w:rPr>
                <w:rFonts w:ascii="Times New Roman" w:hAnsi="Times New Roman"/>
                <w:sz w:val="28"/>
                <w:szCs w:val="28"/>
              </w:rPr>
              <w:t>SBI</w:t>
            </w:r>
            <w:r w:rsidRPr="008C1635">
              <w:rPr>
                <w:rFonts w:ascii="Times New Roman" w:hAnsi="Times New Roman"/>
                <w:sz w:val="28"/>
                <w:szCs w:val="28"/>
                <w:lang w:val="uk-UA"/>
              </w:rPr>
              <w:t xml:space="preserve"> (бали)</w:t>
            </w:r>
          </w:p>
        </w:tc>
      </w:tr>
      <w:tr w:rsidR="00DF0D7B" w:rsidRPr="008C1635" w:rsidTr="00CE785D">
        <w:trPr>
          <w:trHeight w:val="486"/>
          <w:jc w:val="center"/>
        </w:trPr>
        <w:tc>
          <w:tcPr>
            <w:tcW w:w="1838" w:type="dxa"/>
            <w:vMerge/>
            <w:shd w:val="clear" w:color="auto" w:fill="auto"/>
          </w:tcPr>
          <w:p w:rsidR="00DF0D7B" w:rsidRPr="008C1635" w:rsidRDefault="00DF0D7B" w:rsidP="006721D7">
            <w:pPr>
              <w:spacing w:after="0" w:line="240" w:lineRule="auto"/>
              <w:ind w:hanging="5"/>
              <w:jc w:val="center"/>
              <w:rPr>
                <w:rFonts w:ascii="Times New Roman" w:hAnsi="Times New Roman"/>
                <w:sz w:val="28"/>
                <w:szCs w:val="28"/>
                <w:lang w:val="uk-UA"/>
              </w:rPr>
            </w:pPr>
          </w:p>
        </w:tc>
        <w:tc>
          <w:tcPr>
            <w:tcW w:w="1418" w:type="dxa"/>
            <w:shd w:val="clear" w:color="auto" w:fill="auto"/>
          </w:tcPr>
          <w:p w:rsidR="00DF0D7B" w:rsidRPr="008C1635" w:rsidRDefault="00DF0D7B" w:rsidP="006721D7">
            <w:pPr>
              <w:spacing w:after="0" w:line="240" w:lineRule="auto"/>
              <w:rPr>
                <w:rFonts w:ascii="Times New Roman" w:hAnsi="Times New Roman"/>
                <w:sz w:val="28"/>
                <w:szCs w:val="28"/>
                <w:lang w:val="uk-UA"/>
              </w:rPr>
            </w:pPr>
            <w:r w:rsidRPr="008C1635">
              <w:rPr>
                <w:rFonts w:ascii="Times New Roman" w:hAnsi="Times New Roman"/>
                <w:sz w:val="28"/>
                <w:szCs w:val="28"/>
                <w:lang w:val="uk-UA"/>
              </w:rPr>
              <w:t>Група 1 (</w:t>
            </w:r>
            <w:r w:rsidRPr="008C1635">
              <w:rPr>
                <w:rFonts w:ascii="Times New Roman" w:hAnsi="Times New Roman"/>
                <w:sz w:val="28"/>
                <w:szCs w:val="28"/>
              </w:rPr>
              <w:t>n=</w:t>
            </w:r>
            <w:r w:rsidRPr="008C1635">
              <w:rPr>
                <w:rFonts w:ascii="Times New Roman" w:hAnsi="Times New Roman"/>
                <w:sz w:val="28"/>
                <w:szCs w:val="28"/>
                <w:lang w:val="ru-RU"/>
              </w:rPr>
              <w:t>76</w:t>
            </w:r>
            <w:r w:rsidRPr="008C1635">
              <w:rPr>
                <w:rFonts w:ascii="Times New Roman" w:hAnsi="Times New Roman"/>
                <w:sz w:val="28"/>
                <w:szCs w:val="28"/>
                <w:lang w:val="uk-UA"/>
              </w:rPr>
              <w:t>)</w:t>
            </w:r>
          </w:p>
        </w:tc>
        <w:tc>
          <w:tcPr>
            <w:tcW w:w="1417" w:type="dxa"/>
            <w:shd w:val="clear" w:color="auto" w:fill="auto"/>
          </w:tcPr>
          <w:p w:rsidR="00DF0D7B" w:rsidRPr="008C1635" w:rsidRDefault="00DF0D7B" w:rsidP="006721D7">
            <w:pPr>
              <w:spacing w:after="0" w:line="240" w:lineRule="auto"/>
              <w:rPr>
                <w:rFonts w:ascii="Times New Roman" w:hAnsi="Times New Roman"/>
                <w:sz w:val="28"/>
                <w:szCs w:val="28"/>
                <w:lang w:val="uk-UA"/>
              </w:rPr>
            </w:pPr>
            <w:r w:rsidRPr="008C1635">
              <w:rPr>
                <w:rFonts w:ascii="Times New Roman" w:hAnsi="Times New Roman"/>
                <w:sz w:val="28"/>
                <w:szCs w:val="28"/>
                <w:lang w:val="uk-UA"/>
              </w:rPr>
              <w:t>Група 2 (n=50)</w:t>
            </w:r>
          </w:p>
        </w:tc>
        <w:tc>
          <w:tcPr>
            <w:tcW w:w="1418"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Група 3 (n=30)</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Група 4</w:t>
            </w:r>
            <w:r w:rsidRPr="008C1635">
              <w:rPr>
                <w:rFonts w:ascii="Times New Roman" w:hAnsi="Times New Roman"/>
                <w:sz w:val="28"/>
                <w:szCs w:val="28"/>
                <w:lang w:val="uk-UA"/>
              </w:rPr>
              <w:br/>
              <w:t>(n=30)</w:t>
            </w:r>
          </w:p>
        </w:tc>
        <w:tc>
          <w:tcPr>
            <w:tcW w:w="1483"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 xml:space="preserve">Група 5 </w:t>
            </w:r>
            <w:r w:rsidRPr="008C1635">
              <w:rPr>
                <w:rFonts w:ascii="Times New Roman" w:hAnsi="Times New Roman"/>
                <w:sz w:val="28"/>
                <w:szCs w:val="28"/>
                <w:lang w:val="uk-UA"/>
              </w:rPr>
              <w:br/>
              <w:t>(n=35)</w:t>
            </w:r>
          </w:p>
        </w:tc>
      </w:tr>
      <w:tr w:rsidR="00DF0D7B" w:rsidRPr="008C1635" w:rsidTr="00CE785D">
        <w:trPr>
          <w:trHeight w:val="429"/>
          <w:jc w:val="center"/>
        </w:trPr>
        <w:tc>
          <w:tcPr>
            <w:tcW w:w="1838" w:type="dxa"/>
            <w:shd w:val="clear" w:color="auto" w:fill="auto"/>
          </w:tcPr>
          <w:p w:rsidR="00DF0D7B" w:rsidRPr="008C1635" w:rsidRDefault="00DF0D7B" w:rsidP="006721D7">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До лікування</w:t>
            </w:r>
          </w:p>
        </w:tc>
        <w:tc>
          <w:tcPr>
            <w:tcW w:w="1418" w:type="dxa"/>
            <w:shd w:val="clear" w:color="auto" w:fill="auto"/>
          </w:tcPr>
          <w:p w:rsidR="00DF0D7B" w:rsidRPr="008C1635" w:rsidRDefault="00DF0D7B" w:rsidP="006721D7">
            <w:pPr>
              <w:spacing w:after="0" w:line="240" w:lineRule="auto"/>
              <w:rPr>
                <w:rFonts w:ascii="Times New Roman" w:hAnsi="Times New Roman"/>
                <w:sz w:val="28"/>
                <w:szCs w:val="28"/>
                <w:lang w:val="uk-UA"/>
              </w:rPr>
            </w:pPr>
            <w:r w:rsidRPr="008C1635">
              <w:rPr>
                <w:rFonts w:ascii="Times New Roman" w:hAnsi="Times New Roman"/>
                <w:sz w:val="28"/>
                <w:szCs w:val="28"/>
                <w:lang w:val="uk-UA"/>
              </w:rPr>
              <w:t>3,42±0,42</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0,49±0,22</w:t>
            </w:r>
          </w:p>
        </w:tc>
        <w:tc>
          <w:tcPr>
            <w:tcW w:w="1418"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3,33±0,43</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0,47±0,23</w:t>
            </w:r>
          </w:p>
        </w:tc>
        <w:tc>
          <w:tcPr>
            <w:tcW w:w="1483" w:type="dxa"/>
            <w:shd w:val="clear" w:color="auto" w:fill="auto"/>
          </w:tcPr>
          <w:p w:rsidR="00DF0D7B" w:rsidRPr="008C1635" w:rsidRDefault="00DF0D7B" w:rsidP="006721D7">
            <w:pPr>
              <w:spacing w:after="0" w:line="240" w:lineRule="auto"/>
              <w:jc w:val="center"/>
              <w:rPr>
                <w:rFonts w:ascii="Times New Roman" w:hAnsi="Times New Roman"/>
                <w:sz w:val="28"/>
                <w:szCs w:val="28"/>
              </w:rPr>
            </w:pPr>
            <w:r w:rsidRPr="008C1635">
              <w:rPr>
                <w:rFonts w:ascii="Times New Roman" w:hAnsi="Times New Roman"/>
                <w:sz w:val="28"/>
                <w:szCs w:val="28"/>
                <w:lang w:val="uk-UA"/>
              </w:rPr>
              <w:t>0,48±0,21</w:t>
            </w:r>
          </w:p>
        </w:tc>
      </w:tr>
      <w:tr w:rsidR="00DF0D7B" w:rsidRPr="008C1635" w:rsidTr="00CE785D">
        <w:trPr>
          <w:trHeight w:val="427"/>
          <w:jc w:val="center"/>
        </w:trPr>
        <w:tc>
          <w:tcPr>
            <w:tcW w:w="1838" w:type="dxa"/>
            <w:shd w:val="clear" w:color="auto" w:fill="auto"/>
          </w:tcPr>
          <w:p w:rsidR="00DF0D7B" w:rsidRPr="008C1635" w:rsidRDefault="00DF0D7B" w:rsidP="006721D7">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 xml:space="preserve">Через 1 місяць </w:t>
            </w:r>
          </w:p>
        </w:tc>
        <w:tc>
          <w:tcPr>
            <w:tcW w:w="1418" w:type="dxa"/>
            <w:shd w:val="clear" w:color="auto" w:fill="auto"/>
          </w:tcPr>
          <w:p w:rsidR="00DF0D7B" w:rsidRPr="008C1635" w:rsidRDefault="00DF0D7B" w:rsidP="006721D7">
            <w:pPr>
              <w:spacing w:after="0" w:line="240" w:lineRule="auto"/>
              <w:rPr>
                <w:rFonts w:ascii="Times New Roman" w:hAnsi="Times New Roman"/>
                <w:sz w:val="28"/>
                <w:szCs w:val="28"/>
                <w:lang w:val="uk-UA"/>
              </w:rPr>
            </w:pPr>
            <w:r w:rsidRPr="008C1635">
              <w:rPr>
                <w:rFonts w:ascii="Times New Roman" w:hAnsi="Times New Roman"/>
                <w:sz w:val="28"/>
                <w:szCs w:val="28"/>
                <w:lang w:val="uk-UA"/>
              </w:rPr>
              <w:t>0,11±0,35*</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0,08±0,1*</w:t>
            </w:r>
          </w:p>
        </w:tc>
        <w:tc>
          <w:tcPr>
            <w:tcW w:w="1418"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0,19±0,13*</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0,24±0,09*</w:t>
            </w:r>
          </w:p>
        </w:tc>
        <w:tc>
          <w:tcPr>
            <w:tcW w:w="1483"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0,41±0,17</w:t>
            </w:r>
          </w:p>
        </w:tc>
      </w:tr>
      <w:tr w:rsidR="00DF0D7B" w:rsidRPr="008C1635" w:rsidTr="00CE785D">
        <w:trPr>
          <w:trHeight w:val="442"/>
          <w:jc w:val="center"/>
        </w:trPr>
        <w:tc>
          <w:tcPr>
            <w:tcW w:w="1838" w:type="dxa"/>
            <w:shd w:val="clear" w:color="auto" w:fill="auto"/>
          </w:tcPr>
          <w:p w:rsidR="00DF0D7B" w:rsidRPr="008C1635" w:rsidRDefault="00DF0D7B" w:rsidP="006721D7">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Через 3 місяці</w:t>
            </w:r>
          </w:p>
        </w:tc>
        <w:tc>
          <w:tcPr>
            <w:tcW w:w="1418" w:type="dxa"/>
            <w:shd w:val="clear" w:color="auto" w:fill="auto"/>
          </w:tcPr>
          <w:p w:rsidR="00DF0D7B" w:rsidRPr="008C1635" w:rsidRDefault="00DF0D7B" w:rsidP="006721D7">
            <w:pPr>
              <w:spacing w:after="0" w:line="240" w:lineRule="auto"/>
              <w:rPr>
                <w:rFonts w:ascii="Times New Roman" w:hAnsi="Times New Roman"/>
                <w:sz w:val="28"/>
                <w:szCs w:val="28"/>
                <w:lang w:val="uk-UA"/>
              </w:rPr>
            </w:pPr>
            <w:r w:rsidRPr="008C1635">
              <w:rPr>
                <w:rFonts w:ascii="Times New Roman" w:hAnsi="Times New Roman"/>
                <w:sz w:val="28"/>
                <w:szCs w:val="28"/>
                <w:lang w:val="uk-UA"/>
              </w:rPr>
              <w:t>0,16±0,21*</w:t>
            </w:r>
            <w:r w:rsidR="00AE1C43" w:rsidRPr="00AE1C43">
              <w:rPr>
                <w:rFonts w:ascii="Times New Roman" w:hAnsi="Times New Roman"/>
                <w:sz w:val="28"/>
                <w:szCs w:val="28"/>
                <w:vertAlign w:val="superscript"/>
                <w:lang w:val="uk-UA"/>
              </w:rPr>
              <w:t>1</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0,11±0,12*</w:t>
            </w:r>
            <w:r w:rsidR="00AE1C43" w:rsidRPr="00AE1C43">
              <w:rPr>
                <w:rFonts w:ascii="Times New Roman" w:hAnsi="Times New Roman"/>
                <w:sz w:val="28"/>
                <w:szCs w:val="28"/>
                <w:vertAlign w:val="superscript"/>
                <w:lang w:val="uk-UA"/>
              </w:rPr>
              <w:t>2</w:t>
            </w:r>
          </w:p>
        </w:tc>
        <w:tc>
          <w:tcPr>
            <w:tcW w:w="1418"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0,83±0,19*</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0,4±0,2</w:t>
            </w:r>
          </w:p>
        </w:tc>
        <w:tc>
          <w:tcPr>
            <w:tcW w:w="1483"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0,47±0,16</w:t>
            </w:r>
          </w:p>
        </w:tc>
      </w:tr>
      <w:tr w:rsidR="00DF0D7B" w:rsidRPr="008C1635" w:rsidTr="00CE785D">
        <w:trPr>
          <w:trHeight w:val="577"/>
          <w:jc w:val="center"/>
        </w:trPr>
        <w:tc>
          <w:tcPr>
            <w:tcW w:w="1838" w:type="dxa"/>
            <w:shd w:val="clear" w:color="auto" w:fill="auto"/>
          </w:tcPr>
          <w:p w:rsidR="00DF0D7B" w:rsidRPr="008C1635" w:rsidRDefault="00DF0D7B" w:rsidP="006721D7">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Через 6 місяців</w:t>
            </w:r>
          </w:p>
        </w:tc>
        <w:tc>
          <w:tcPr>
            <w:tcW w:w="1418" w:type="dxa"/>
            <w:shd w:val="clear" w:color="auto" w:fill="auto"/>
          </w:tcPr>
          <w:p w:rsidR="00DF0D7B" w:rsidRPr="008C1635" w:rsidRDefault="00DF0D7B" w:rsidP="006721D7">
            <w:pPr>
              <w:spacing w:after="0" w:line="240" w:lineRule="auto"/>
              <w:rPr>
                <w:rFonts w:ascii="Times New Roman" w:hAnsi="Times New Roman"/>
                <w:sz w:val="28"/>
                <w:szCs w:val="28"/>
                <w:lang w:val="uk-UA"/>
              </w:rPr>
            </w:pPr>
            <w:r w:rsidRPr="008C1635">
              <w:rPr>
                <w:rFonts w:ascii="Times New Roman" w:hAnsi="Times New Roman"/>
                <w:sz w:val="28"/>
                <w:szCs w:val="28"/>
                <w:lang w:val="uk-UA"/>
              </w:rPr>
              <w:t>0,19±0,28*</w:t>
            </w:r>
            <w:r w:rsidR="00AE1C43" w:rsidRPr="00AE1C43">
              <w:rPr>
                <w:rFonts w:ascii="Times New Roman" w:hAnsi="Times New Roman"/>
                <w:sz w:val="28"/>
                <w:szCs w:val="28"/>
                <w:vertAlign w:val="superscript"/>
                <w:lang w:val="uk-UA"/>
              </w:rPr>
              <w:t>1</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0,13±0,14*</w:t>
            </w:r>
            <w:r w:rsidR="00AE1C43" w:rsidRPr="00AE1C43">
              <w:rPr>
                <w:rFonts w:ascii="Times New Roman" w:hAnsi="Times New Roman"/>
                <w:sz w:val="28"/>
                <w:szCs w:val="28"/>
                <w:vertAlign w:val="superscript"/>
                <w:lang w:val="uk-UA"/>
              </w:rPr>
              <w:t>2</w:t>
            </w:r>
          </w:p>
        </w:tc>
        <w:tc>
          <w:tcPr>
            <w:tcW w:w="1418"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1,81±0,48*</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0,74±0,29</w:t>
            </w:r>
          </w:p>
        </w:tc>
        <w:tc>
          <w:tcPr>
            <w:tcW w:w="1483"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0,4±0,17</w:t>
            </w:r>
          </w:p>
        </w:tc>
      </w:tr>
      <w:tr w:rsidR="00DF0D7B" w:rsidRPr="008C1635" w:rsidTr="00CE785D">
        <w:trPr>
          <w:trHeight w:val="727"/>
          <w:jc w:val="center"/>
        </w:trPr>
        <w:tc>
          <w:tcPr>
            <w:tcW w:w="1838" w:type="dxa"/>
            <w:shd w:val="clear" w:color="auto" w:fill="auto"/>
          </w:tcPr>
          <w:p w:rsidR="00DF0D7B" w:rsidRPr="008C1635" w:rsidRDefault="00DF0D7B" w:rsidP="006721D7">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Через 1 рік</w:t>
            </w:r>
          </w:p>
        </w:tc>
        <w:tc>
          <w:tcPr>
            <w:tcW w:w="1418" w:type="dxa"/>
            <w:shd w:val="clear" w:color="auto" w:fill="auto"/>
          </w:tcPr>
          <w:p w:rsidR="00DF0D7B" w:rsidRPr="008C1635" w:rsidRDefault="00DF0D7B" w:rsidP="006721D7">
            <w:pPr>
              <w:spacing w:after="0" w:line="240" w:lineRule="auto"/>
              <w:rPr>
                <w:rFonts w:ascii="Times New Roman" w:hAnsi="Times New Roman"/>
                <w:sz w:val="28"/>
                <w:szCs w:val="28"/>
              </w:rPr>
            </w:pPr>
            <w:r w:rsidRPr="008C1635">
              <w:rPr>
                <w:rFonts w:ascii="Times New Roman" w:hAnsi="Times New Roman"/>
                <w:sz w:val="28"/>
                <w:szCs w:val="28"/>
                <w:lang w:val="ru-RU"/>
              </w:rPr>
              <w:t>0,17±0,14</w:t>
            </w:r>
            <w:r w:rsidR="00AE1C43" w:rsidRPr="00AE1C43">
              <w:rPr>
                <w:rFonts w:ascii="Times New Roman" w:hAnsi="Times New Roman"/>
                <w:sz w:val="28"/>
                <w:szCs w:val="28"/>
                <w:vertAlign w:val="superscript"/>
                <w:lang w:val="uk-UA"/>
              </w:rPr>
              <w:t>1</w:t>
            </w:r>
            <w:r w:rsidRPr="008C1635">
              <w:rPr>
                <w:rFonts w:ascii="Times New Roman" w:hAnsi="Times New Roman"/>
                <w:sz w:val="28"/>
                <w:szCs w:val="28"/>
                <w:lang w:val="uk-UA"/>
              </w:rPr>
              <w:t>*</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0,13±0,13*</w:t>
            </w:r>
            <w:r w:rsidR="00AE1C43" w:rsidRPr="00AE1C43">
              <w:rPr>
                <w:rFonts w:ascii="Times New Roman" w:hAnsi="Times New Roman"/>
                <w:sz w:val="28"/>
                <w:szCs w:val="28"/>
                <w:vertAlign w:val="superscript"/>
                <w:lang w:val="uk-UA"/>
              </w:rPr>
              <w:t>2</w:t>
            </w:r>
          </w:p>
        </w:tc>
        <w:tc>
          <w:tcPr>
            <w:tcW w:w="1418"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3,15±0,34</w:t>
            </w:r>
          </w:p>
        </w:tc>
        <w:tc>
          <w:tcPr>
            <w:tcW w:w="1417"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1,35±0,31*</w:t>
            </w:r>
          </w:p>
        </w:tc>
        <w:tc>
          <w:tcPr>
            <w:tcW w:w="1483" w:type="dxa"/>
            <w:shd w:val="clear" w:color="auto" w:fill="auto"/>
          </w:tcPr>
          <w:p w:rsidR="00DF0D7B" w:rsidRPr="008C1635" w:rsidRDefault="00DF0D7B" w:rsidP="006721D7">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0,39±0,17</w:t>
            </w:r>
          </w:p>
        </w:tc>
      </w:tr>
    </w:tbl>
    <w:p w:rsidR="00DF0D7B" w:rsidRDefault="00DF0D7B" w:rsidP="006721D7">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Примітка: * - статистично значима різниця відносно початкового рівня, р˂0,05</w:t>
      </w:r>
    </w:p>
    <w:p w:rsidR="00AE1C43" w:rsidRDefault="00AE1C43" w:rsidP="00AE1C43">
      <w:pPr>
        <w:spacing w:after="0" w:line="240" w:lineRule="auto"/>
        <w:jc w:val="both"/>
        <w:rPr>
          <w:rFonts w:ascii="Times New Roman" w:hAnsi="Times New Roman"/>
          <w:sz w:val="28"/>
          <w:szCs w:val="28"/>
          <w:lang w:val="uk-UA"/>
        </w:rPr>
      </w:pPr>
      <w:r w:rsidRPr="00AE1C43">
        <w:rPr>
          <w:rFonts w:ascii="Times New Roman" w:hAnsi="Times New Roman"/>
          <w:sz w:val="28"/>
          <w:szCs w:val="28"/>
          <w:vertAlign w:val="superscript"/>
          <w:lang w:val="uk-UA"/>
        </w:rPr>
        <w:t>1</w:t>
      </w:r>
      <w:r>
        <w:rPr>
          <w:rFonts w:ascii="Times New Roman" w:hAnsi="Times New Roman"/>
          <w:sz w:val="28"/>
          <w:szCs w:val="28"/>
          <w:lang w:val="uk-UA"/>
        </w:rPr>
        <w:t xml:space="preserve"> - статистично значима різниця у порівнянні з третьою групою пацієнтів, </w:t>
      </w:r>
      <w:r w:rsidRPr="00DD39D0">
        <w:rPr>
          <w:rFonts w:ascii="Times New Roman" w:hAnsi="Times New Roman"/>
          <w:sz w:val="28"/>
          <w:szCs w:val="28"/>
          <w:lang w:val="uk-UA"/>
        </w:rPr>
        <w:t>р˂0,05</w:t>
      </w:r>
    </w:p>
    <w:p w:rsidR="0047086B" w:rsidRPr="00DD39D0" w:rsidRDefault="00AE1C43" w:rsidP="006721D7">
      <w:pPr>
        <w:spacing w:after="0" w:line="240" w:lineRule="auto"/>
        <w:jc w:val="both"/>
        <w:rPr>
          <w:rFonts w:ascii="Times New Roman" w:hAnsi="Times New Roman"/>
          <w:sz w:val="28"/>
          <w:szCs w:val="28"/>
          <w:lang w:val="uk-UA"/>
        </w:rPr>
      </w:pPr>
      <w:r w:rsidRPr="00AE1C43">
        <w:rPr>
          <w:rFonts w:ascii="Times New Roman" w:hAnsi="Times New Roman"/>
          <w:sz w:val="28"/>
          <w:szCs w:val="28"/>
          <w:vertAlign w:val="superscript"/>
          <w:lang w:val="uk-UA"/>
        </w:rPr>
        <w:t>2</w:t>
      </w:r>
      <w:r>
        <w:rPr>
          <w:rFonts w:ascii="Times New Roman" w:hAnsi="Times New Roman"/>
          <w:sz w:val="28"/>
          <w:szCs w:val="28"/>
          <w:vertAlign w:val="superscript"/>
          <w:lang w:val="uk-UA"/>
        </w:rPr>
        <w:t xml:space="preserve"> </w:t>
      </w:r>
      <w:r>
        <w:rPr>
          <w:rFonts w:ascii="Times New Roman" w:hAnsi="Times New Roman"/>
          <w:sz w:val="28"/>
          <w:szCs w:val="28"/>
          <w:lang w:val="uk-UA"/>
        </w:rPr>
        <w:t xml:space="preserve">- статистично значима різниця у порівнянні з четвертою групою пацієнтів, </w:t>
      </w:r>
      <w:r w:rsidRPr="00DD39D0">
        <w:rPr>
          <w:rFonts w:ascii="Times New Roman" w:hAnsi="Times New Roman"/>
          <w:sz w:val="28"/>
          <w:szCs w:val="28"/>
          <w:lang w:val="uk-UA"/>
        </w:rPr>
        <w:t>р˂0,05</w:t>
      </w:r>
    </w:p>
    <w:p w:rsidR="00C73ADD" w:rsidRDefault="00C73ADD" w:rsidP="00AE1C43">
      <w:pPr>
        <w:spacing w:after="0" w:line="240" w:lineRule="auto"/>
        <w:ind w:firstLine="709"/>
        <w:jc w:val="both"/>
        <w:rPr>
          <w:rFonts w:ascii="Times New Roman" w:hAnsi="Times New Roman"/>
          <w:sz w:val="28"/>
          <w:szCs w:val="28"/>
          <w:lang w:val="uk-UA"/>
        </w:rPr>
      </w:pPr>
      <w:r w:rsidRPr="00C73ADD">
        <w:rPr>
          <w:rFonts w:ascii="Times New Roman" w:hAnsi="Times New Roman"/>
          <w:sz w:val="28"/>
          <w:szCs w:val="28"/>
          <w:lang w:val="uk-UA"/>
        </w:rPr>
        <w:t>У другій групі дітей без виражених ознак гінгівіту на тлі атопічних захворювань початковий рівень індексу SBI дорівнював 0,49 ± 0,22 балам. Здійснення запропонованих нами концептуально нових профілактичних заходів призвело до статистично значимого зниження рівню індексу SBI до рівня 0,08 ± 0,1 балів через 1 місяць, 0,11 ± 0,12 балів через три місяці, 0,13 ± 0,14 балів через 6 місяців та 0,13 ± 0,13 через 12 місяців.</w:t>
      </w:r>
    </w:p>
    <w:p w:rsidR="004E3186" w:rsidRPr="00DD39D0" w:rsidRDefault="002A16CA" w:rsidP="00AE1C43">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При аналізі отриманих клінічних даних</w:t>
      </w:r>
      <w:r w:rsidR="00211525">
        <w:rPr>
          <w:rFonts w:ascii="Times New Roman" w:hAnsi="Times New Roman"/>
          <w:sz w:val="28"/>
          <w:szCs w:val="28"/>
          <w:lang w:val="uk-UA"/>
        </w:rPr>
        <w:t xml:space="preserve"> другої групи пацієнтів</w:t>
      </w:r>
      <w:r w:rsidRPr="00DD39D0">
        <w:rPr>
          <w:rFonts w:ascii="Times New Roman" w:hAnsi="Times New Roman"/>
          <w:sz w:val="28"/>
          <w:szCs w:val="28"/>
          <w:lang w:val="uk-UA"/>
        </w:rPr>
        <w:t xml:space="preserve"> після здійснення заходів профілактики, спостерігається чітка тенденція до покращення стану тканин пародонту та збереження стабільності досягнутого результату. У третій групі пацієнтів, де була застосована традиційна методика лікування та профілактики гінгівіту, запалення тканин пародонту згідно з показниками індексу </w:t>
      </w:r>
      <w:r w:rsidRPr="00DD39D0">
        <w:rPr>
          <w:rFonts w:ascii="Times New Roman" w:hAnsi="Times New Roman"/>
          <w:sz w:val="28"/>
          <w:szCs w:val="28"/>
        </w:rPr>
        <w:t>SBI</w:t>
      </w:r>
      <w:r w:rsidRPr="00DD39D0">
        <w:rPr>
          <w:rFonts w:ascii="Times New Roman" w:hAnsi="Times New Roman"/>
          <w:sz w:val="28"/>
          <w:szCs w:val="28"/>
          <w:lang w:val="uk-UA"/>
        </w:rPr>
        <w:t xml:space="preserve"> поступово повернулося до початкового рівня, індекс </w:t>
      </w:r>
      <w:r w:rsidRPr="00DD39D0">
        <w:rPr>
          <w:rFonts w:ascii="Times New Roman" w:hAnsi="Times New Roman"/>
          <w:sz w:val="28"/>
          <w:szCs w:val="28"/>
        </w:rPr>
        <w:t>SBI</w:t>
      </w:r>
      <w:r w:rsidRPr="00DD39D0">
        <w:rPr>
          <w:rFonts w:ascii="Times New Roman" w:hAnsi="Times New Roman"/>
          <w:sz w:val="28"/>
          <w:szCs w:val="28"/>
          <w:lang w:val="uk-UA"/>
        </w:rPr>
        <w:t xml:space="preserve"> дорівнював 3,15</w:t>
      </w:r>
      <w:r w:rsidR="00E1492C">
        <w:rPr>
          <w:rFonts w:ascii="Times New Roman" w:hAnsi="Times New Roman"/>
          <w:sz w:val="28"/>
          <w:szCs w:val="28"/>
          <w:lang w:val="uk-UA"/>
        </w:rPr>
        <w:t xml:space="preserve"> </w:t>
      </w:r>
      <w:r w:rsidRPr="00DD39D0">
        <w:rPr>
          <w:rFonts w:ascii="Times New Roman" w:hAnsi="Times New Roman"/>
          <w:sz w:val="28"/>
          <w:szCs w:val="28"/>
          <w:lang w:val="uk-UA"/>
        </w:rPr>
        <w:t>±</w:t>
      </w:r>
      <w:r w:rsidR="00E1492C">
        <w:rPr>
          <w:rFonts w:ascii="Times New Roman" w:hAnsi="Times New Roman"/>
          <w:sz w:val="28"/>
          <w:szCs w:val="28"/>
          <w:lang w:val="uk-UA"/>
        </w:rPr>
        <w:t xml:space="preserve"> </w:t>
      </w:r>
      <w:r w:rsidRPr="00DD39D0">
        <w:rPr>
          <w:rFonts w:ascii="Times New Roman" w:hAnsi="Times New Roman"/>
          <w:sz w:val="28"/>
          <w:szCs w:val="28"/>
          <w:lang w:val="uk-UA"/>
        </w:rPr>
        <w:t xml:space="preserve">0,34 бали. У четвертій групі пацієнтів через 12 місяців індекс </w:t>
      </w:r>
      <w:r w:rsidRPr="00DD39D0">
        <w:rPr>
          <w:rFonts w:ascii="Times New Roman" w:hAnsi="Times New Roman"/>
          <w:sz w:val="28"/>
          <w:szCs w:val="28"/>
        </w:rPr>
        <w:t>SBI</w:t>
      </w:r>
      <w:r w:rsidRPr="00DD39D0">
        <w:rPr>
          <w:rFonts w:ascii="Times New Roman" w:hAnsi="Times New Roman"/>
          <w:sz w:val="28"/>
          <w:szCs w:val="28"/>
          <w:lang w:val="uk-UA"/>
        </w:rPr>
        <w:t xml:space="preserve"> дорівнював 1,35</w:t>
      </w:r>
      <w:r w:rsidR="00E1492C">
        <w:rPr>
          <w:rFonts w:ascii="Times New Roman" w:hAnsi="Times New Roman"/>
          <w:sz w:val="28"/>
          <w:szCs w:val="28"/>
          <w:lang w:val="uk-UA"/>
        </w:rPr>
        <w:t xml:space="preserve"> </w:t>
      </w:r>
      <w:r w:rsidRPr="00DD39D0">
        <w:rPr>
          <w:rFonts w:ascii="Times New Roman" w:hAnsi="Times New Roman"/>
          <w:sz w:val="28"/>
          <w:szCs w:val="28"/>
          <w:lang w:val="uk-UA"/>
        </w:rPr>
        <w:t>±</w:t>
      </w:r>
      <w:r w:rsidR="00E1492C">
        <w:rPr>
          <w:rFonts w:ascii="Times New Roman" w:hAnsi="Times New Roman"/>
          <w:sz w:val="28"/>
          <w:szCs w:val="28"/>
          <w:lang w:val="uk-UA"/>
        </w:rPr>
        <w:t xml:space="preserve"> </w:t>
      </w:r>
      <w:r w:rsidRPr="00DD39D0">
        <w:rPr>
          <w:rFonts w:ascii="Times New Roman" w:hAnsi="Times New Roman"/>
          <w:sz w:val="28"/>
          <w:szCs w:val="28"/>
          <w:lang w:val="uk-UA"/>
        </w:rPr>
        <w:t>0,31 бали, що достовірно (р˂0,05) вище за початковий рівень.</w:t>
      </w:r>
    </w:p>
    <w:p w:rsidR="002A16CA" w:rsidRPr="00DD39D0" w:rsidRDefault="002A16CA"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Згідно з індексом РМА, у першій та третій групах обстежених дітей, хворих на атопічні захворювання, ми спостерігали середній ступінь тяжкості гінгівіту на початку дослідження. Рівень індексу РМА був на рівні 34,34 ± 2,54 % у першій групі та 35,5 ± 2,35 % у другій групі без достовірної (р˂0,05) різниці між даними групами. Незалежно від виду застосованих методів лікування, через 1 місяць ми спостерігали позитивну динаміку в обох групах, індекс РМА дорівнював 3,29 ± 2,06 % у першій групі та 2,87 ± 1,57 % у третій групі. Проте вже через три місяці ми виявили статистично значиму різницю у показниках </w:t>
      </w:r>
      <w:r w:rsidRPr="00DD39D0">
        <w:rPr>
          <w:rFonts w:ascii="Times New Roman" w:hAnsi="Times New Roman"/>
          <w:sz w:val="28"/>
          <w:szCs w:val="28"/>
          <w:lang w:val="uk-UA"/>
        </w:rPr>
        <w:lastRenderedPageBreak/>
        <w:t xml:space="preserve">індексу першої та третьої груп. У першій групі пацієнтів, де була застосована запропонована нами концептуально нова схема лікування, індекс РМА був на рівні 3,09 ± 1,93 %, а у третій групі пацієнтів з атопічними захворюваннями та хронічним гінгівітом, де була застосована традиційна методика лікування, індекс РМА дорівнював 8,5 ± 1,17 %. Таке співвідношення індексних показників свідчить про більшу клінічну ефективність запропонованої нами методики лікування хронічного гінгівіту. </w:t>
      </w:r>
    </w:p>
    <w:p w:rsidR="003C57F6" w:rsidRPr="00DD39D0" w:rsidRDefault="007608DF" w:rsidP="006721D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клінічної картини</w:t>
      </w:r>
      <w:r w:rsidR="002A16CA" w:rsidRPr="00DD39D0">
        <w:rPr>
          <w:rFonts w:ascii="Times New Roman" w:hAnsi="Times New Roman"/>
          <w:sz w:val="28"/>
          <w:szCs w:val="28"/>
          <w:lang w:val="uk-UA"/>
        </w:rPr>
        <w:t xml:space="preserve"> у другій та четвертій </w:t>
      </w:r>
      <w:r>
        <w:rPr>
          <w:rFonts w:ascii="Times New Roman" w:hAnsi="Times New Roman"/>
          <w:sz w:val="28"/>
          <w:szCs w:val="28"/>
          <w:lang w:val="uk-UA"/>
        </w:rPr>
        <w:t>групах пацієнтів були характерні поодинокі прояв</w:t>
      </w:r>
      <w:r w:rsidR="002A16CA" w:rsidRPr="00DD39D0">
        <w:rPr>
          <w:rFonts w:ascii="Times New Roman" w:hAnsi="Times New Roman"/>
          <w:sz w:val="28"/>
          <w:szCs w:val="28"/>
          <w:lang w:val="uk-UA"/>
        </w:rPr>
        <w:t xml:space="preserve">и гінгівіту, початковий рівень індексу РМА відповідав </w:t>
      </w:r>
      <w:r>
        <w:rPr>
          <w:rFonts w:ascii="Times New Roman" w:hAnsi="Times New Roman"/>
          <w:sz w:val="28"/>
          <w:szCs w:val="28"/>
          <w:lang w:val="uk-UA"/>
        </w:rPr>
        <w:t xml:space="preserve">рівню </w:t>
      </w:r>
      <w:r w:rsidR="002A16CA" w:rsidRPr="00DD39D0">
        <w:rPr>
          <w:rFonts w:ascii="Times New Roman" w:hAnsi="Times New Roman"/>
          <w:sz w:val="28"/>
          <w:szCs w:val="28"/>
          <w:lang w:val="uk-UA"/>
        </w:rPr>
        <w:t>6,86 ± 1,53 % у другій групі та 7,87 ± 1,52 %</w:t>
      </w:r>
      <w:r w:rsidR="00E1492C">
        <w:rPr>
          <w:rFonts w:ascii="Times New Roman" w:hAnsi="Times New Roman"/>
          <w:sz w:val="28"/>
          <w:szCs w:val="28"/>
          <w:lang w:val="uk-UA"/>
        </w:rPr>
        <w:t xml:space="preserve"> у четвертій групі</w:t>
      </w:r>
      <w:r w:rsidR="002A16CA" w:rsidRPr="00DD39D0">
        <w:rPr>
          <w:rFonts w:ascii="Times New Roman" w:hAnsi="Times New Roman"/>
          <w:sz w:val="28"/>
          <w:szCs w:val="28"/>
          <w:lang w:val="uk-UA"/>
        </w:rPr>
        <w:t xml:space="preserve"> без достовірної</w:t>
      </w:r>
      <w:r w:rsidR="00191A76" w:rsidRPr="00DD39D0">
        <w:rPr>
          <w:rFonts w:ascii="Times New Roman" w:hAnsi="Times New Roman"/>
          <w:sz w:val="28"/>
          <w:szCs w:val="28"/>
          <w:lang w:val="uk-UA"/>
        </w:rPr>
        <w:t xml:space="preserve"> (р˂0,05)</w:t>
      </w:r>
      <w:r w:rsidR="002A16CA" w:rsidRPr="00DD39D0">
        <w:rPr>
          <w:rFonts w:ascii="Times New Roman" w:hAnsi="Times New Roman"/>
          <w:sz w:val="28"/>
          <w:szCs w:val="28"/>
          <w:lang w:val="uk-UA"/>
        </w:rPr>
        <w:t xml:space="preserve"> різниці у показниках. Через один місяць після здійснення заходів профілактики рівень індексу РМА у другій групі дорівнював 1,86 ± 1,76 %</w:t>
      </w:r>
      <w:r w:rsidR="00191A76" w:rsidRPr="00DD39D0">
        <w:rPr>
          <w:rFonts w:ascii="Times New Roman" w:hAnsi="Times New Roman"/>
          <w:sz w:val="28"/>
          <w:szCs w:val="28"/>
          <w:lang w:val="uk-UA"/>
        </w:rPr>
        <w:t>, у четвертій групі</w:t>
      </w:r>
      <w:r w:rsidR="002A16CA" w:rsidRPr="00DD39D0">
        <w:rPr>
          <w:rFonts w:ascii="Times New Roman" w:hAnsi="Times New Roman"/>
          <w:sz w:val="28"/>
          <w:szCs w:val="28"/>
          <w:lang w:val="uk-UA"/>
        </w:rPr>
        <w:t xml:space="preserve"> 2,93 ± </w:t>
      </w:r>
      <w:r w:rsidR="00191A76" w:rsidRPr="00DD39D0">
        <w:rPr>
          <w:rFonts w:ascii="Times New Roman" w:hAnsi="Times New Roman"/>
          <w:sz w:val="28"/>
          <w:szCs w:val="28"/>
          <w:lang w:val="uk-UA"/>
        </w:rPr>
        <w:t>1,08 %</w:t>
      </w:r>
      <w:r w:rsidR="002A16CA" w:rsidRPr="00DD39D0">
        <w:rPr>
          <w:rFonts w:ascii="Times New Roman" w:hAnsi="Times New Roman"/>
          <w:sz w:val="28"/>
          <w:szCs w:val="28"/>
          <w:lang w:val="uk-UA"/>
        </w:rPr>
        <w:t>. Наявність статистично значимої різниці у показниках при порівнянні з початковим рівне</w:t>
      </w:r>
      <w:r>
        <w:rPr>
          <w:rFonts w:ascii="Times New Roman" w:hAnsi="Times New Roman"/>
          <w:sz w:val="28"/>
          <w:szCs w:val="28"/>
          <w:lang w:val="uk-UA"/>
        </w:rPr>
        <w:t>м</w:t>
      </w:r>
      <w:r w:rsidR="002A16CA" w:rsidRPr="00DD39D0">
        <w:rPr>
          <w:rFonts w:ascii="Times New Roman" w:hAnsi="Times New Roman"/>
          <w:sz w:val="28"/>
          <w:szCs w:val="28"/>
          <w:lang w:val="uk-UA"/>
        </w:rPr>
        <w:t xml:space="preserve"> свідчить про ефективність профілактичних заходів в обох групах. Достовірна різниця у показниках індексу РМА між групами починається з третього місяця спостережень, у другій групі індекс РМА був на рівні 2,9 ± 1,18 %, у четвертій групі 9,0±1,08, що у 3,1 рази більше, ніж у другій групі.</w:t>
      </w:r>
      <w:r w:rsidR="00191A76" w:rsidRPr="00DD39D0">
        <w:rPr>
          <w:rFonts w:ascii="Times New Roman" w:hAnsi="Times New Roman"/>
          <w:sz w:val="28"/>
          <w:szCs w:val="28"/>
          <w:lang w:val="uk-UA"/>
        </w:rPr>
        <w:t xml:space="preserve"> Динаміка зростання індексу РМА у четвертій групі зберіглася через шість та два</w:t>
      </w:r>
      <w:r w:rsidR="00E1492C">
        <w:rPr>
          <w:rFonts w:ascii="Times New Roman" w:hAnsi="Times New Roman"/>
          <w:sz w:val="28"/>
          <w:szCs w:val="28"/>
          <w:lang w:val="uk-UA"/>
        </w:rPr>
        <w:t>надцять місяців спостереження, ч</w:t>
      </w:r>
      <w:r w:rsidR="00191A76" w:rsidRPr="00DD39D0">
        <w:rPr>
          <w:rFonts w:ascii="Times New Roman" w:hAnsi="Times New Roman"/>
          <w:sz w:val="28"/>
          <w:szCs w:val="28"/>
          <w:lang w:val="uk-UA"/>
        </w:rPr>
        <w:t>ерез шість місяців індекс РМА дорівнював 13,67 ± 2,2 %, через дванадцять місяців 18,33 ± 1,65 %. Відповідно до отриманих даних, індекс РМА у другій групі через шість місяців дорівнював 1,58±1,36, через дванадцять місяців 1,94 ± 1,61 %. Нами не була відмічена достовірна різниця у значеннях індексу РМА у динаміці, що підтверджує ефективність запропонованої програми профілактики.</w:t>
      </w:r>
    </w:p>
    <w:p w:rsidR="006721D7" w:rsidRPr="00DD39D0" w:rsidRDefault="006721D7"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Проведення дослідження рівню муцину у ротовій рідині дітей з атопічними захворюваннями та соматично здорових дітей виявило підвищення його вмісту</w:t>
      </w:r>
      <w:r w:rsidR="007608DF">
        <w:rPr>
          <w:rFonts w:ascii="Times New Roman" w:hAnsi="Times New Roman"/>
          <w:sz w:val="28"/>
          <w:szCs w:val="28"/>
          <w:lang w:val="uk-UA"/>
        </w:rPr>
        <w:t xml:space="preserve"> на тлі атопічних захворювань. Н</w:t>
      </w:r>
      <w:r w:rsidRPr="00DD39D0">
        <w:rPr>
          <w:rFonts w:ascii="Times New Roman" w:hAnsi="Times New Roman"/>
          <w:sz w:val="28"/>
          <w:szCs w:val="28"/>
          <w:lang w:val="uk-UA"/>
        </w:rPr>
        <w:t>а початку дослідження у всіх чотирьох основних групах спостерігалося достовірне (р˂0,05) підвищення рівня вмісту муцину у ротовій рідині, відносно контрольної групи. Отримані дані були підтверджені клінічним оглядом, який виявив високу в’язкість слини. Призначене лікування та профілактика, згідно з показниками першої та другої групи пацієнтів, призвело до зниження концентрації муцину у ротовій рідині. Так, через шість місяців рівень муцину серед дітей першої групи дорівнюв</w:t>
      </w:r>
      <w:r w:rsidR="007608DF">
        <w:rPr>
          <w:rFonts w:ascii="Times New Roman" w:hAnsi="Times New Roman"/>
          <w:sz w:val="28"/>
          <w:szCs w:val="28"/>
          <w:lang w:val="uk-UA"/>
        </w:rPr>
        <w:t>ав 3.14 ± 0.42 г/</w:t>
      </w:r>
      <w:r w:rsidRPr="00DD39D0">
        <w:rPr>
          <w:rFonts w:ascii="Times New Roman" w:hAnsi="Times New Roman"/>
          <w:sz w:val="28"/>
          <w:szCs w:val="28"/>
          <w:lang w:val="uk-UA"/>
        </w:rPr>
        <w:t>л, через д</w:t>
      </w:r>
      <w:r w:rsidR="007608DF">
        <w:rPr>
          <w:rFonts w:ascii="Times New Roman" w:hAnsi="Times New Roman"/>
          <w:sz w:val="28"/>
          <w:szCs w:val="28"/>
          <w:lang w:val="uk-UA"/>
        </w:rPr>
        <w:t>ванадцять місяців 2.48 ± 0.55 г/</w:t>
      </w:r>
      <w:r w:rsidRPr="00DD39D0">
        <w:rPr>
          <w:rFonts w:ascii="Times New Roman" w:hAnsi="Times New Roman"/>
          <w:sz w:val="28"/>
          <w:szCs w:val="28"/>
          <w:lang w:val="uk-UA"/>
        </w:rPr>
        <w:t xml:space="preserve">л, що достовірно відрізняється від </w:t>
      </w:r>
      <w:r w:rsidR="007608DF">
        <w:rPr>
          <w:rFonts w:ascii="Times New Roman" w:hAnsi="Times New Roman"/>
          <w:sz w:val="28"/>
          <w:szCs w:val="28"/>
          <w:lang w:val="uk-UA"/>
        </w:rPr>
        <w:t>початкового рівня 5.65 ± 0.86 г/</w:t>
      </w:r>
      <w:r w:rsidRPr="00DD39D0">
        <w:rPr>
          <w:rFonts w:ascii="Times New Roman" w:hAnsi="Times New Roman"/>
          <w:sz w:val="28"/>
          <w:szCs w:val="28"/>
          <w:lang w:val="uk-UA"/>
        </w:rPr>
        <w:t>л. Схожу позитивну тенденцію ми спостерігали у другій групі пацієнтів, де вміст муцину зн</w:t>
      </w:r>
      <w:r w:rsidR="007608DF">
        <w:rPr>
          <w:rFonts w:ascii="Times New Roman" w:hAnsi="Times New Roman"/>
          <w:sz w:val="28"/>
          <w:szCs w:val="28"/>
          <w:lang w:val="uk-UA"/>
        </w:rPr>
        <w:t>аходився на рівні 5.75 ± 0.75 г/</w:t>
      </w:r>
      <w:r w:rsidRPr="00DD39D0">
        <w:rPr>
          <w:rFonts w:ascii="Times New Roman" w:hAnsi="Times New Roman"/>
          <w:sz w:val="28"/>
          <w:szCs w:val="28"/>
          <w:lang w:val="uk-UA"/>
        </w:rPr>
        <w:t>л на початку дослідження, через шість міс</w:t>
      </w:r>
      <w:r w:rsidR="007608DF">
        <w:rPr>
          <w:rFonts w:ascii="Times New Roman" w:hAnsi="Times New Roman"/>
          <w:sz w:val="28"/>
          <w:szCs w:val="28"/>
          <w:lang w:val="uk-UA"/>
        </w:rPr>
        <w:t>яців дорівнював 2.51 ± 0.62 г/</w:t>
      </w:r>
      <w:r w:rsidRPr="00DD39D0">
        <w:rPr>
          <w:rFonts w:ascii="Times New Roman" w:hAnsi="Times New Roman"/>
          <w:sz w:val="28"/>
          <w:szCs w:val="28"/>
          <w:lang w:val="uk-UA"/>
        </w:rPr>
        <w:t>л, через д</w:t>
      </w:r>
      <w:r w:rsidR="007608DF">
        <w:rPr>
          <w:rFonts w:ascii="Times New Roman" w:hAnsi="Times New Roman"/>
          <w:sz w:val="28"/>
          <w:szCs w:val="28"/>
          <w:lang w:val="uk-UA"/>
        </w:rPr>
        <w:t>ванадцять місяців 2.37 ± 0.53 г/</w:t>
      </w:r>
      <w:r w:rsidRPr="00DD39D0">
        <w:rPr>
          <w:rFonts w:ascii="Times New Roman" w:hAnsi="Times New Roman"/>
          <w:sz w:val="28"/>
          <w:szCs w:val="28"/>
          <w:lang w:val="uk-UA"/>
        </w:rPr>
        <w:t xml:space="preserve">л. Таким чином, корекція антиоксидантних та імунних ланок при лікуванні та профілактиці хронічного гінгівіту у дітей на тлі атопічних захворювань у поєднанні з корекцією схеми </w:t>
      </w:r>
      <w:r w:rsidRPr="00DD39D0">
        <w:rPr>
          <w:rFonts w:ascii="Times New Roman" w:hAnsi="Times New Roman"/>
          <w:sz w:val="28"/>
          <w:szCs w:val="28"/>
          <w:lang w:val="uk-UA"/>
        </w:rPr>
        <w:lastRenderedPageBreak/>
        <w:t>індивідуальної гігієни, яка включає застосування гелю, направленого на боротьбу з ксеростомією, дала позитивний клінічний результат.</w:t>
      </w:r>
    </w:p>
    <w:p w:rsidR="006721D7" w:rsidRPr="00DD39D0" w:rsidRDefault="006721D7" w:rsidP="006721D7">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Традиційний спосіб лікування та профілактики хронічного гінгівіту у дітей на тлі атопічних захворювань не мав позитивного результату як з точки зору клінічних, так і клініко-лабораторних показників. Так, через шість місяців у пацієнтів третьої групи достовірної різниці у рівні муцину у порівнянні з початковим рівнем не спостерігалося, так само як і через дв</w:t>
      </w:r>
      <w:r w:rsidR="007608DF">
        <w:rPr>
          <w:rFonts w:ascii="Times New Roman" w:hAnsi="Times New Roman"/>
          <w:sz w:val="28"/>
          <w:szCs w:val="28"/>
          <w:lang w:val="uk-UA"/>
        </w:rPr>
        <w:t>анадцять місяців (4.53 ± 0.65 г/л, 5.12 ± 0.72 г/</w:t>
      </w:r>
      <w:r w:rsidRPr="00DD39D0">
        <w:rPr>
          <w:rFonts w:ascii="Times New Roman" w:hAnsi="Times New Roman"/>
          <w:sz w:val="28"/>
          <w:szCs w:val="28"/>
          <w:lang w:val="uk-UA"/>
        </w:rPr>
        <w:t xml:space="preserve">л відповідно). Показники четвертої групи пацієнтів так само достовірно не відрізнялися від початкового рівня, вміст </w:t>
      </w:r>
      <w:r w:rsidR="007608DF">
        <w:rPr>
          <w:rFonts w:ascii="Times New Roman" w:hAnsi="Times New Roman"/>
          <w:sz w:val="28"/>
          <w:szCs w:val="28"/>
          <w:lang w:val="uk-UA"/>
        </w:rPr>
        <w:t>муцину дорівнював 5.12 ± 0.88 г/л та 5.20 ± 0.59 г/</w:t>
      </w:r>
      <w:r w:rsidRPr="00DD39D0">
        <w:rPr>
          <w:rFonts w:ascii="Times New Roman" w:hAnsi="Times New Roman"/>
          <w:sz w:val="28"/>
          <w:szCs w:val="28"/>
          <w:lang w:val="uk-UA"/>
        </w:rPr>
        <w:t>л через шість та дванадцять місяців відповідно.</w:t>
      </w:r>
    </w:p>
    <w:p w:rsidR="006721D7" w:rsidRPr="00DD39D0" w:rsidRDefault="006721D7"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Для комплексної характеристики стану антиоксидантної системи були проаналізовані рівні каталази, малонового диальдегіду, відновленого глутатіону, супероксиддисмутази, </w:t>
      </w:r>
      <w:r w:rsidR="001B3766" w:rsidRPr="00DD39D0">
        <w:rPr>
          <w:rFonts w:ascii="Times New Roman" w:hAnsi="Times New Roman"/>
          <w:sz w:val="28"/>
          <w:szCs w:val="28"/>
          <w:lang w:val="uk-UA"/>
        </w:rPr>
        <w:t xml:space="preserve">уреази. Аналіз даних показників засвідчив значне послаблення антиоксидантного захисту. </w:t>
      </w:r>
      <w:r w:rsidR="00120A61" w:rsidRPr="00DD39D0">
        <w:rPr>
          <w:rFonts w:ascii="Times New Roman" w:hAnsi="Times New Roman"/>
          <w:sz w:val="28"/>
          <w:szCs w:val="28"/>
          <w:lang w:val="uk-UA"/>
        </w:rPr>
        <w:t>При аналізі отриманих даних у першій групі пацієнтів ми встановили підвищення рівня МДА до позначки 6.87</w:t>
      </w:r>
      <w:r w:rsidR="0047086B">
        <w:rPr>
          <w:rFonts w:ascii="Times New Roman" w:hAnsi="Times New Roman"/>
          <w:sz w:val="28"/>
          <w:szCs w:val="28"/>
          <w:lang w:val="uk-UA"/>
        </w:rPr>
        <w:t xml:space="preserve"> </w:t>
      </w:r>
      <w:r w:rsidR="00120A61" w:rsidRPr="00DD39D0">
        <w:rPr>
          <w:rFonts w:ascii="Times New Roman" w:hAnsi="Times New Roman"/>
          <w:sz w:val="28"/>
          <w:szCs w:val="28"/>
          <w:lang w:val="uk-UA"/>
        </w:rPr>
        <w:t>±</w:t>
      </w:r>
      <w:r w:rsidR="0047086B">
        <w:rPr>
          <w:rFonts w:ascii="Times New Roman" w:hAnsi="Times New Roman"/>
          <w:sz w:val="28"/>
          <w:szCs w:val="28"/>
          <w:lang w:val="uk-UA"/>
        </w:rPr>
        <w:t xml:space="preserve"> </w:t>
      </w:r>
      <w:r w:rsidR="00120A61" w:rsidRPr="00DD39D0">
        <w:rPr>
          <w:rFonts w:ascii="Times New Roman" w:hAnsi="Times New Roman"/>
          <w:sz w:val="28"/>
          <w:szCs w:val="28"/>
          <w:lang w:val="uk-UA"/>
        </w:rPr>
        <w:t>0.91 мкмоль/л, через шість місяців рівень МДА змінився з достовірною (р˂0,05) різницею і дорівнював 3.44</w:t>
      </w:r>
      <w:r w:rsidR="0047086B">
        <w:rPr>
          <w:rFonts w:ascii="Times New Roman" w:hAnsi="Times New Roman"/>
          <w:sz w:val="28"/>
          <w:szCs w:val="28"/>
          <w:lang w:val="uk-UA"/>
        </w:rPr>
        <w:t xml:space="preserve"> </w:t>
      </w:r>
      <w:r w:rsidR="00120A61" w:rsidRPr="00DD39D0">
        <w:rPr>
          <w:rFonts w:ascii="Times New Roman" w:hAnsi="Times New Roman"/>
          <w:sz w:val="28"/>
          <w:szCs w:val="28"/>
          <w:lang w:val="uk-UA"/>
        </w:rPr>
        <w:t>±</w:t>
      </w:r>
      <w:r w:rsidR="0047086B">
        <w:rPr>
          <w:rFonts w:ascii="Times New Roman" w:hAnsi="Times New Roman"/>
          <w:sz w:val="28"/>
          <w:szCs w:val="28"/>
          <w:lang w:val="uk-UA"/>
        </w:rPr>
        <w:t xml:space="preserve"> </w:t>
      </w:r>
      <w:r w:rsidR="00120A61" w:rsidRPr="00DD39D0">
        <w:rPr>
          <w:rFonts w:ascii="Times New Roman" w:hAnsi="Times New Roman"/>
          <w:sz w:val="28"/>
          <w:szCs w:val="28"/>
          <w:lang w:val="uk-UA"/>
        </w:rPr>
        <w:t>0.59 мкмоль/л, через дванадцять місяців 3.38</w:t>
      </w:r>
      <w:r w:rsidR="0047086B">
        <w:rPr>
          <w:rFonts w:ascii="Times New Roman" w:hAnsi="Times New Roman"/>
          <w:sz w:val="28"/>
          <w:szCs w:val="28"/>
          <w:lang w:val="uk-UA"/>
        </w:rPr>
        <w:t xml:space="preserve"> </w:t>
      </w:r>
      <w:r w:rsidR="00120A61" w:rsidRPr="00DD39D0">
        <w:rPr>
          <w:rFonts w:ascii="Times New Roman" w:hAnsi="Times New Roman"/>
          <w:sz w:val="28"/>
          <w:szCs w:val="28"/>
          <w:lang w:val="uk-UA"/>
        </w:rPr>
        <w:t>±</w:t>
      </w:r>
      <w:r w:rsidR="0047086B">
        <w:rPr>
          <w:rFonts w:ascii="Times New Roman" w:hAnsi="Times New Roman"/>
          <w:sz w:val="28"/>
          <w:szCs w:val="28"/>
          <w:lang w:val="uk-UA"/>
        </w:rPr>
        <w:t xml:space="preserve"> </w:t>
      </w:r>
      <w:r w:rsidR="00120A61" w:rsidRPr="00DD39D0">
        <w:rPr>
          <w:rFonts w:ascii="Times New Roman" w:hAnsi="Times New Roman"/>
          <w:sz w:val="28"/>
          <w:szCs w:val="28"/>
          <w:lang w:val="uk-UA"/>
        </w:rPr>
        <w:t>0.65 мкмоль/л. Пацієнтам другої групи без виражених клінічних ознак гінгівіту з атопічними захворюваннями після проведення комплексного клініко-лабораторного обстеження була призначена концептуально нова програма профілактичних заходів, яка через шість місяців призвела до зниження активності МДА до рівню 3.50</w:t>
      </w:r>
      <w:r w:rsidR="0047086B">
        <w:rPr>
          <w:rFonts w:ascii="Times New Roman" w:hAnsi="Times New Roman"/>
          <w:sz w:val="28"/>
          <w:szCs w:val="28"/>
          <w:lang w:val="uk-UA"/>
        </w:rPr>
        <w:t xml:space="preserve"> </w:t>
      </w:r>
      <w:r w:rsidR="00120A61" w:rsidRPr="00DD39D0">
        <w:rPr>
          <w:rFonts w:ascii="Times New Roman" w:hAnsi="Times New Roman"/>
          <w:sz w:val="28"/>
          <w:szCs w:val="28"/>
          <w:lang w:val="uk-UA"/>
        </w:rPr>
        <w:t>±</w:t>
      </w:r>
      <w:r w:rsidR="0047086B">
        <w:rPr>
          <w:rFonts w:ascii="Times New Roman" w:hAnsi="Times New Roman"/>
          <w:sz w:val="28"/>
          <w:szCs w:val="28"/>
          <w:lang w:val="uk-UA"/>
        </w:rPr>
        <w:t xml:space="preserve"> </w:t>
      </w:r>
      <w:r w:rsidR="00120A61" w:rsidRPr="00DD39D0">
        <w:rPr>
          <w:rFonts w:ascii="Times New Roman" w:hAnsi="Times New Roman"/>
          <w:sz w:val="28"/>
          <w:szCs w:val="28"/>
          <w:lang w:val="uk-UA"/>
        </w:rPr>
        <w:t xml:space="preserve">0.62 мкмоль/л та до рівню 3.37±0.63 мкмоль/л через дванадцять місяців. </w:t>
      </w:r>
      <w:r w:rsidR="00775731" w:rsidRPr="00DD39D0">
        <w:rPr>
          <w:rFonts w:ascii="Times New Roman" w:hAnsi="Times New Roman"/>
          <w:sz w:val="28"/>
          <w:szCs w:val="28"/>
          <w:lang w:val="uk-UA"/>
        </w:rPr>
        <w:t>Лікування пацієнтів третьої групи призвело до статистично значимого збільшення рівня МДА тільки у короткостроковому періоді спостережень (4.64</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0.70 мкмоль/л через шість місяців), проте через дванадцять місяців ми зафіксували зниження рівня МДА до рівня 5.00</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 xml:space="preserve">0.70 мкмоль/л, у порівнянні з початковим рівнем достовірна різниця відсутня. На початку дослідження до проведення профілактичних заходів рівень МДА </w:t>
      </w:r>
      <w:r w:rsidR="00102DB5" w:rsidRPr="00DD39D0">
        <w:rPr>
          <w:rFonts w:ascii="Times New Roman" w:hAnsi="Times New Roman"/>
          <w:sz w:val="28"/>
          <w:szCs w:val="28"/>
          <w:lang w:val="uk-UA"/>
        </w:rPr>
        <w:t xml:space="preserve">у четвертій групі пацієнтів </w:t>
      </w:r>
      <w:r w:rsidR="00775731" w:rsidRPr="00DD39D0">
        <w:rPr>
          <w:rFonts w:ascii="Times New Roman" w:hAnsi="Times New Roman"/>
          <w:sz w:val="28"/>
          <w:szCs w:val="28"/>
          <w:lang w:val="uk-UA"/>
        </w:rPr>
        <w:t>дорівнював 5.73</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0.78 мкмоль/л, через шість місяців 5.02</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0.90 мкмоль/л, через дванадцять місяців 5.20</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w:t>
      </w:r>
      <w:r w:rsidR="0047086B">
        <w:rPr>
          <w:rFonts w:ascii="Times New Roman" w:hAnsi="Times New Roman"/>
          <w:sz w:val="28"/>
          <w:szCs w:val="28"/>
          <w:lang w:val="uk-UA"/>
        </w:rPr>
        <w:t xml:space="preserve"> </w:t>
      </w:r>
      <w:r w:rsidR="00775731" w:rsidRPr="00DD39D0">
        <w:rPr>
          <w:rFonts w:ascii="Times New Roman" w:hAnsi="Times New Roman"/>
          <w:sz w:val="28"/>
          <w:szCs w:val="28"/>
          <w:lang w:val="uk-UA"/>
        </w:rPr>
        <w:t>0.69 мкмоль/л.</w:t>
      </w:r>
      <w:r w:rsidR="00102DB5" w:rsidRPr="00DD39D0">
        <w:rPr>
          <w:rFonts w:ascii="Times New Roman" w:hAnsi="Times New Roman"/>
          <w:sz w:val="28"/>
          <w:szCs w:val="28"/>
          <w:lang w:val="uk-UA"/>
        </w:rPr>
        <w:t xml:space="preserve"> </w:t>
      </w:r>
    </w:p>
    <w:p w:rsidR="00102DB5" w:rsidRDefault="00102DB5"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Поряд з іншими показниками була також визначена активність супероксиддисмутази</w:t>
      </w:r>
      <w:r w:rsidR="00211525">
        <w:rPr>
          <w:rFonts w:ascii="Times New Roman" w:hAnsi="Times New Roman"/>
          <w:sz w:val="28"/>
          <w:szCs w:val="28"/>
          <w:lang w:val="uk-UA"/>
        </w:rPr>
        <w:t>, результати наведені у таблиці 2.</w:t>
      </w:r>
      <w:r w:rsidRPr="00DD39D0">
        <w:rPr>
          <w:rFonts w:ascii="Times New Roman" w:hAnsi="Times New Roman"/>
          <w:sz w:val="28"/>
          <w:szCs w:val="28"/>
          <w:lang w:val="uk-UA"/>
        </w:rPr>
        <w:t xml:space="preserve"> </w:t>
      </w:r>
    </w:p>
    <w:p w:rsidR="00211525" w:rsidRPr="00DD39D0" w:rsidRDefault="00211525" w:rsidP="009B19C9">
      <w:pPr>
        <w:spacing w:after="0" w:line="240" w:lineRule="auto"/>
        <w:ind w:firstLine="709"/>
        <w:jc w:val="right"/>
        <w:rPr>
          <w:rFonts w:ascii="Times New Roman" w:hAnsi="Times New Roman"/>
          <w:i/>
          <w:sz w:val="28"/>
          <w:szCs w:val="28"/>
          <w:lang w:val="uk-UA"/>
        </w:rPr>
      </w:pPr>
      <w:r w:rsidRPr="00DD39D0">
        <w:rPr>
          <w:rFonts w:ascii="Times New Roman" w:hAnsi="Times New Roman"/>
          <w:i/>
          <w:sz w:val="28"/>
          <w:szCs w:val="28"/>
          <w:lang w:val="uk-UA"/>
        </w:rPr>
        <w:t>Таблиця 2</w:t>
      </w:r>
    </w:p>
    <w:p w:rsidR="00211525" w:rsidRPr="0047086B" w:rsidRDefault="00211525" w:rsidP="009B19C9">
      <w:pPr>
        <w:spacing w:after="0" w:line="240" w:lineRule="auto"/>
        <w:ind w:firstLine="709"/>
        <w:jc w:val="center"/>
        <w:rPr>
          <w:rFonts w:ascii="Times New Roman" w:hAnsi="Times New Roman"/>
          <w:b/>
          <w:sz w:val="28"/>
          <w:szCs w:val="28"/>
          <w:lang w:val="uk-UA"/>
        </w:rPr>
      </w:pPr>
      <w:r w:rsidRPr="0047086B">
        <w:rPr>
          <w:rFonts w:ascii="Times New Roman" w:hAnsi="Times New Roman"/>
          <w:b/>
          <w:sz w:val="28"/>
          <w:szCs w:val="28"/>
          <w:lang w:val="uk-UA"/>
        </w:rPr>
        <w:t>Характеристика активності супероксиддисмутази у динаміці</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1418"/>
        <w:gridCol w:w="1417"/>
        <w:gridCol w:w="1559"/>
        <w:gridCol w:w="1570"/>
        <w:gridCol w:w="1483"/>
      </w:tblGrid>
      <w:tr w:rsidR="00211525" w:rsidRPr="008C1635" w:rsidTr="00022295">
        <w:trPr>
          <w:trHeight w:val="471"/>
          <w:jc w:val="center"/>
        </w:trPr>
        <w:tc>
          <w:tcPr>
            <w:tcW w:w="1838" w:type="dxa"/>
            <w:vMerge w:val="restart"/>
            <w:shd w:val="clear" w:color="auto" w:fill="auto"/>
          </w:tcPr>
          <w:p w:rsidR="00211525" w:rsidRPr="008C1635" w:rsidRDefault="00211525" w:rsidP="00022295">
            <w:pPr>
              <w:spacing w:after="0" w:line="240" w:lineRule="auto"/>
              <w:ind w:hanging="5"/>
              <w:jc w:val="center"/>
              <w:rPr>
                <w:rFonts w:ascii="Times New Roman" w:hAnsi="Times New Roman"/>
                <w:sz w:val="28"/>
                <w:szCs w:val="28"/>
                <w:lang w:val="uk-UA"/>
              </w:rPr>
            </w:pPr>
            <w:r w:rsidRPr="008C1635">
              <w:rPr>
                <w:rFonts w:ascii="Times New Roman" w:hAnsi="Times New Roman"/>
                <w:sz w:val="28"/>
                <w:szCs w:val="28"/>
                <w:lang w:val="uk-UA"/>
              </w:rPr>
              <w:t>Строк спостереження</w:t>
            </w:r>
          </w:p>
        </w:tc>
        <w:tc>
          <w:tcPr>
            <w:tcW w:w="7447" w:type="dxa"/>
            <w:gridSpan w:val="5"/>
            <w:shd w:val="clear" w:color="auto" w:fill="auto"/>
          </w:tcPr>
          <w:p w:rsidR="00211525" w:rsidRPr="008C1635" w:rsidRDefault="00211525" w:rsidP="00022295">
            <w:pPr>
              <w:spacing w:after="0" w:line="240" w:lineRule="auto"/>
              <w:ind w:firstLine="709"/>
              <w:jc w:val="center"/>
              <w:rPr>
                <w:rFonts w:ascii="Times New Roman" w:hAnsi="Times New Roman"/>
                <w:sz w:val="28"/>
                <w:szCs w:val="28"/>
                <w:lang w:val="uk-UA"/>
              </w:rPr>
            </w:pPr>
            <w:r w:rsidRPr="008C1635">
              <w:rPr>
                <w:rFonts w:ascii="Times New Roman" w:hAnsi="Times New Roman"/>
                <w:sz w:val="28"/>
                <w:szCs w:val="28"/>
                <w:lang w:val="uk-UA"/>
              </w:rPr>
              <w:t>СОД, у.о./л</w:t>
            </w:r>
          </w:p>
        </w:tc>
      </w:tr>
      <w:tr w:rsidR="00211525" w:rsidRPr="008C1635" w:rsidTr="00022295">
        <w:trPr>
          <w:trHeight w:val="486"/>
          <w:jc w:val="center"/>
        </w:trPr>
        <w:tc>
          <w:tcPr>
            <w:tcW w:w="1838" w:type="dxa"/>
            <w:vMerge/>
            <w:shd w:val="clear" w:color="auto" w:fill="auto"/>
          </w:tcPr>
          <w:p w:rsidR="00211525" w:rsidRPr="008C1635" w:rsidRDefault="00211525" w:rsidP="00022295">
            <w:pPr>
              <w:spacing w:after="0" w:line="240" w:lineRule="auto"/>
              <w:ind w:hanging="5"/>
              <w:jc w:val="center"/>
              <w:rPr>
                <w:rFonts w:ascii="Times New Roman" w:hAnsi="Times New Roman"/>
                <w:sz w:val="28"/>
                <w:szCs w:val="28"/>
                <w:lang w:val="uk-UA"/>
              </w:rPr>
            </w:pPr>
          </w:p>
        </w:tc>
        <w:tc>
          <w:tcPr>
            <w:tcW w:w="1418" w:type="dxa"/>
            <w:shd w:val="clear" w:color="auto" w:fill="auto"/>
          </w:tcPr>
          <w:p w:rsidR="00211525" w:rsidRPr="008C1635" w:rsidRDefault="00211525" w:rsidP="00022295">
            <w:pPr>
              <w:spacing w:after="0" w:line="240" w:lineRule="auto"/>
              <w:rPr>
                <w:rFonts w:ascii="Times New Roman" w:hAnsi="Times New Roman"/>
                <w:sz w:val="28"/>
                <w:szCs w:val="28"/>
                <w:lang w:val="uk-UA"/>
              </w:rPr>
            </w:pPr>
            <w:r w:rsidRPr="008C1635">
              <w:rPr>
                <w:rFonts w:ascii="Times New Roman" w:hAnsi="Times New Roman"/>
                <w:sz w:val="28"/>
                <w:szCs w:val="28"/>
                <w:lang w:val="uk-UA"/>
              </w:rPr>
              <w:t>Група 1 (</w:t>
            </w:r>
            <w:r w:rsidRPr="008C1635">
              <w:rPr>
                <w:rFonts w:ascii="Times New Roman" w:hAnsi="Times New Roman"/>
                <w:sz w:val="28"/>
                <w:szCs w:val="28"/>
              </w:rPr>
              <w:t>n</w:t>
            </w:r>
            <w:r w:rsidRPr="008C1635">
              <w:rPr>
                <w:rFonts w:ascii="Times New Roman" w:hAnsi="Times New Roman"/>
                <w:sz w:val="28"/>
                <w:szCs w:val="28"/>
                <w:lang w:val="uk-UA"/>
              </w:rPr>
              <w:t>=76)</w:t>
            </w:r>
          </w:p>
        </w:tc>
        <w:tc>
          <w:tcPr>
            <w:tcW w:w="1417" w:type="dxa"/>
            <w:shd w:val="clear" w:color="auto" w:fill="auto"/>
          </w:tcPr>
          <w:p w:rsidR="00211525" w:rsidRPr="008C1635" w:rsidRDefault="00211525" w:rsidP="00022295">
            <w:pPr>
              <w:spacing w:after="0" w:line="240" w:lineRule="auto"/>
              <w:rPr>
                <w:rFonts w:ascii="Times New Roman" w:hAnsi="Times New Roman"/>
                <w:sz w:val="28"/>
                <w:szCs w:val="28"/>
                <w:lang w:val="uk-UA"/>
              </w:rPr>
            </w:pPr>
            <w:r w:rsidRPr="008C1635">
              <w:rPr>
                <w:rFonts w:ascii="Times New Roman" w:hAnsi="Times New Roman"/>
                <w:sz w:val="28"/>
                <w:szCs w:val="28"/>
                <w:lang w:val="uk-UA"/>
              </w:rPr>
              <w:t>Група 2 (n=50)</w:t>
            </w:r>
          </w:p>
        </w:tc>
        <w:tc>
          <w:tcPr>
            <w:tcW w:w="1559"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Група 3 (n=30)</w:t>
            </w:r>
          </w:p>
        </w:tc>
        <w:tc>
          <w:tcPr>
            <w:tcW w:w="1570"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Група 4</w:t>
            </w:r>
            <w:r w:rsidRPr="008C1635">
              <w:rPr>
                <w:rFonts w:ascii="Times New Roman" w:hAnsi="Times New Roman"/>
                <w:sz w:val="28"/>
                <w:szCs w:val="28"/>
                <w:lang w:val="uk-UA"/>
              </w:rPr>
              <w:br/>
              <w:t>(n=30)</w:t>
            </w:r>
          </w:p>
        </w:tc>
        <w:tc>
          <w:tcPr>
            <w:tcW w:w="1483"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 xml:space="preserve">Група 5 </w:t>
            </w:r>
            <w:r w:rsidRPr="008C1635">
              <w:rPr>
                <w:rFonts w:ascii="Times New Roman" w:hAnsi="Times New Roman"/>
                <w:sz w:val="28"/>
                <w:szCs w:val="28"/>
                <w:lang w:val="uk-UA"/>
              </w:rPr>
              <w:br/>
              <w:t>(n=35)</w:t>
            </w:r>
          </w:p>
        </w:tc>
      </w:tr>
      <w:tr w:rsidR="00211525" w:rsidRPr="008C1635" w:rsidTr="00022295">
        <w:trPr>
          <w:trHeight w:val="429"/>
          <w:jc w:val="center"/>
        </w:trPr>
        <w:tc>
          <w:tcPr>
            <w:tcW w:w="1838" w:type="dxa"/>
            <w:shd w:val="clear" w:color="auto" w:fill="auto"/>
          </w:tcPr>
          <w:p w:rsidR="00211525" w:rsidRPr="008C1635" w:rsidRDefault="00211525" w:rsidP="00022295">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До лікування</w:t>
            </w:r>
          </w:p>
        </w:tc>
        <w:tc>
          <w:tcPr>
            <w:tcW w:w="1418" w:type="dxa"/>
            <w:shd w:val="clear" w:color="auto" w:fill="auto"/>
          </w:tcPr>
          <w:p w:rsidR="00211525" w:rsidRPr="008C1635" w:rsidRDefault="00211525" w:rsidP="00022295">
            <w:pPr>
              <w:spacing w:after="0" w:line="240" w:lineRule="auto"/>
              <w:rPr>
                <w:rFonts w:ascii="Times New Roman" w:hAnsi="Times New Roman"/>
                <w:sz w:val="28"/>
                <w:szCs w:val="28"/>
                <w:lang w:val="uk-UA"/>
              </w:rPr>
            </w:pPr>
            <w:r w:rsidRPr="008C1635">
              <w:rPr>
                <w:rFonts w:ascii="Times New Roman" w:hAnsi="Times New Roman"/>
                <w:sz w:val="28"/>
                <w:szCs w:val="28"/>
                <w:lang w:val="uk-UA"/>
              </w:rPr>
              <w:t>3.30±0.41</w:t>
            </w:r>
          </w:p>
        </w:tc>
        <w:tc>
          <w:tcPr>
            <w:tcW w:w="1417"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3.27±0.40</w:t>
            </w:r>
          </w:p>
        </w:tc>
        <w:tc>
          <w:tcPr>
            <w:tcW w:w="1559"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3.26±0.44</w:t>
            </w:r>
          </w:p>
        </w:tc>
        <w:tc>
          <w:tcPr>
            <w:tcW w:w="1570"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3.30±0.39</w:t>
            </w:r>
          </w:p>
        </w:tc>
        <w:tc>
          <w:tcPr>
            <w:tcW w:w="1483"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5.26±0.57</w:t>
            </w:r>
          </w:p>
        </w:tc>
      </w:tr>
      <w:tr w:rsidR="00211525" w:rsidRPr="008C1635" w:rsidTr="00022295">
        <w:trPr>
          <w:trHeight w:val="427"/>
          <w:jc w:val="center"/>
        </w:trPr>
        <w:tc>
          <w:tcPr>
            <w:tcW w:w="1838" w:type="dxa"/>
            <w:shd w:val="clear" w:color="auto" w:fill="auto"/>
          </w:tcPr>
          <w:p w:rsidR="00211525" w:rsidRPr="008C1635" w:rsidRDefault="00211525" w:rsidP="00022295">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 xml:space="preserve">Через 6 місяців </w:t>
            </w:r>
          </w:p>
        </w:tc>
        <w:tc>
          <w:tcPr>
            <w:tcW w:w="1418" w:type="dxa"/>
            <w:shd w:val="clear" w:color="auto" w:fill="auto"/>
          </w:tcPr>
          <w:p w:rsidR="00211525" w:rsidRPr="008C1635" w:rsidRDefault="00211525" w:rsidP="00022295">
            <w:pPr>
              <w:spacing w:after="0" w:line="240" w:lineRule="auto"/>
              <w:rPr>
                <w:rFonts w:ascii="Times New Roman" w:hAnsi="Times New Roman"/>
                <w:sz w:val="28"/>
                <w:szCs w:val="28"/>
                <w:lang w:val="uk-UA"/>
              </w:rPr>
            </w:pPr>
            <w:r w:rsidRPr="008C1635">
              <w:rPr>
                <w:rFonts w:ascii="Times New Roman" w:hAnsi="Times New Roman"/>
                <w:sz w:val="28"/>
                <w:szCs w:val="28"/>
                <w:lang w:val="uk-UA"/>
              </w:rPr>
              <w:t>5.72±0.79*</w:t>
            </w:r>
            <w:r w:rsidRPr="00AE1C43">
              <w:rPr>
                <w:rFonts w:ascii="Times New Roman" w:hAnsi="Times New Roman"/>
                <w:sz w:val="28"/>
                <w:szCs w:val="28"/>
                <w:vertAlign w:val="superscript"/>
                <w:lang w:val="uk-UA"/>
              </w:rPr>
              <w:t>1</w:t>
            </w:r>
          </w:p>
        </w:tc>
        <w:tc>
          <w:tcPr>
            <w:tcW w:w="1417"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5.63±0.67*</w:t>
            </w:r>
            <w:r w:rsidRPr="00AE1C43">
              <w:rPr>
                <w:rFonts w:ascii="Times New Roman" w:hAnsi="Times New Roman"/>
                <w:sz w:val="28"/>
                <w:szCs w:val="28"/>
                <w:vertAlign w:val="superscript"/>
                <w:lang w:val="uk-UA"/>
              </w:rPr>
              <w:t>2</w:t>
            </w:r>
          </w:p>
        </w:tc>
        <w:tc>
          <w:tcPr>
            <w:tcW w:w="1559"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3.23±0.60*</w:t>
            </w:r>
          </w:p>
        </w:tc>
        <w:tc>
          <w:tcPr>
            <w:tcW w:w="1570"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3.06±0.45</w:t>
            </w:r>
          </w:p>
        </w:tc>
        <w:tc>
          <w:tcPr>
            <w:tcW w:w="1483"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5.53±0.60</w:t>
            </w:r>
          </w:p>
        </w:tc>
      </w:tr>
      <w:tr w:rsidR="00211525" w:rsidRPr="008C1635" w:rsidTr="00022295">
        <w:trPr>
          <w:trHeight w:val="577"/>
          <w:jc w:val="center"/>
        </w:trPr>
        <w:tc>
          <w:tcPr>
            <w:tcW w:w="1838" w:type="dxa"/>
            <w:shd w:val="clear" w:color="auto" w:fill="auto"/>
          </w:tcPr>
          <w:p w:rsidR="00211525" w:rsidRPr="008C1635" w:rsidRDefault="00211525" w:rsidP="00022295">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lastRenderedPageBreak/>
              <w:t>Через 12 місяців</w:t>
            </w:r>
          </w:p>
        </w:tc>
        <w:tc>
          <w:tcPr>
            <w:tcW w:w="1418" w:type="dxa"/>
            <w:shd w:val="clear" w:color="auto" w:fill="auto"/>
          </w:tcPr>
          <w:p w:rsidR="00211525" w:rsidRPr="008C1635" w:rsidRDefault="00211525" w:rsidP="00022295">
            <w:pPr>
              <w:spacing w:after="0" w:line="240" w:lineRule="auto"/>
              <w:rPr>
                <w:rFonts w:ascii="Times New Roman" w:hAnsi="Times New Roman"/>
                <w:sz w:val="28"/>
                <w:szCs w:val="28"/>
                <w:lang w:val="uk-UA"/>
              </w:rPr>
            </w:pPr>
            <w:r w:rsidRPr="008C1635">
              <w:rPr>
                <w:rFonts w:ascii="Times New Roman" w:hAnsi="Times New Roman"/>
                <w:sz w:val="28"/>
                <w:szCs w:val="28"/>
                <w:lang w:val="uk-UA"/>
              </w:rPr>
              <w:t>5.86±0.64*</w:t>
            </w:r>
            <w:r w:rsidRPr="00AE1C43">
              <w:rPr>
                <w:rFonts w:ascii="Times New Roman" w:hAnsi="Times New Roman"/>
                <w:sz w:val="28"/>
                <w:szCs w:val="28"/>
                <w:vertAlign w:val="superscript"/>
                <w:lang w:val="uk-UA"/>
              </w:rPr>
              <w:t>1</w:t>
            </w:r>
          </w:p>
        </w:tc>
        <w:tc>
          <w:tcPr>
            <w:tcW w:w="1417"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6.01±0.73*</w:t>
            </w:r>
            <w:r w:rsidRPr="00AE1C43">
              <w:rPr>
                <w:rFonts w:ascii="Times New Roman" w:hAnsi="Times New Roman"/>
                <w:sz w:val="28"/>
                <w:szCs w:val="28"/>
                <w:vertAlign w:val="superscript"/>
                <w:lang w:val="uk-UA"/>
              </w:rPr>
              <w:t>2</w:t>
            </w:r>
          </w:p>
        </w:tc>
        <w:tc>
          <w:tcPr>
            <w:tcW w:w="1559"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3.29±0.59</w:t>
            </w:r>
          </w:p>
        </w:tc>
        <w:tc>
          <w:tcPr>
            <w:tcW w:w="1570"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3.44±0.59</w:t>
            </w:r>
          </w:p>
        </w:tc>
        <w:tc>
          <w:tcPr>
            <w:tcW w:w="1483" w:type="dxa"/>
            <w:shd w:val="clear" w:color="auto" w:fill="auto"/>
          </w:tcPr>
          <w:p w:rsidR="00211525" w:rsidRPr="008C1635" w:rsidRDefault="00211525" w:rsidP="0002229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5.51±0.73</w:t>
            </w:r>
          </w:p>
        </w:tc>
      </w:tr>
    </w:tbl>
    <w:p w:rsidR="00211525" w:rsidRDefault="00211525" w:rsidP="00211525">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Примітка: * - статистично значима різниця відносно початкового рівня, р˂0,05</w:t>
      </w:r>
    </w:p>
    <w:p w:rsidR="00211525" w:rsidRDefault="00211525" w:rsidP="00211525">
      <w:pPr>
        <w:spacing w:after="0" w:line="240" w:lineRule="auto"/>
        <w:jc w:val="both"/>
        <w:rPr>
          <w:rFonts w:ascii="Times New Roman" w:hAnsi="Times New Roman"/>
          <w:sz w:val="28"/>
          <w:szCs w:val="28"/>
          <w:lang w:val="uk-UA"/>
        </w:rPr>
      </w:pPr>
      <w:r w:rsidRPr="00AE1C43">
        <w:rPr>
          <w:rFonts w:ascii="Times New Roman" w:hAnsi="Times New Roman"/>
          <w:sz w:val="28"/>
          <w:szCs w:val="28"/>
          <w:vertAlign w:val="superscript"/>
          <w:lang w:val="uk-UA"/>
        </w:rPr>
        <w:t>1</w:t>
      </w:r>
      <w:r>
        <w:rPr>
          <w:rFonts w:ascii="Times New Roman" w:hAnsi="Times New Roman"/>
          <w:sz w:val="28"/>
          <w:szCs w:val="28"/>
          <w:lang w:val="uk-UA"/>
        </w:rPr>
        <w:t xml:space="preserve"> - статистично значима різниця у порівнянні з третьою групою пацієнтів, </w:t>
      </w:r>
      <w:r w:rsidRPr="00DD39D0">
        <w:rPr>
          <w:rFonts w:ascii="Times New Roman" w:hAnsi="Times New Roman"/>
          <w:sz w:val="28"/>
          <w:szCs w:val="28"/>
          <w:lang w:val="uk-UA"/>
        </w:rPr>
        <w:t>р˂0,05</w:t>
      </w:r>
    </w:p>
    <w:p w:rsidR="00211525" w:rsidRDefault="00211525" w:rsidP="00211525">
      <w:pPr>
        <w:spacing w:after="0" w:line="240" w:lineRule="auto"/>
        <w:jc w:val="both"/>
        <w:rPr>
          <w:rFonts w:ascii="Times New Roman" w:hAnsi="Times New Roman"/>
          <w:sz w:val="28"/>
          <w:szCs w:val="28"/>
          <w:lang w:val="uk-UA"/>
        </w:rPr>
      </w:pPr>
      <w:r w:rsidRPr="00AE1C43">
        <w:rPr>
          <w:rFonts w:ascii="Times New Roman" w:hAnsi="Times New Roman"/>
          <w:sz w:val="28"/>
          <w:szCs w:val="28"/>
          <w:vertAlign w:val="superscript"/>
          <w:lang w:val="uk-UA"/>
        </w:rPr>
        <w:t>2</w:t>
      </w:r>
      <w:r>
        <w:rPr>
          <w:rFonts w:ascii="Times New Roman" w:hAnsi="Times New Roman"/>
          <w:sz w:val="28"/>
          <w:szCs w:val="28"/>
          <w:vertAlign w:val="superscript"/>
          <w:lang w:val="uk-UA"/>
        </w:rPr>
        <w:t xml:space="preserve"> </w:t>
      </w:r>
      <w:r>
        <w:rPr>
          <w:rFonts w:ascii="Times New Roman" w:hAnsi="Times New Roman"/>
          <w:sz w:val="28"/>
          <w:szCs w:val="28"/>
          <w:lang w:val="uk-UA"/>
        </w:rPr>
        <w:t xml:space="preserve">- статистично значима різниця у порівнянні з четвертою групою пацієнтів, </w:t>
      </w:r>
      <w:r w:rsidRPr="00DD39D0">
        <w:rPr>
          <w:rFonts w:ascii="Times New Roman" w:hAnsi="Times New Roman"/>
          <w:sz w:val="28"/>
          <w:szCs w:val="28"/>
          <w:lang w:val="uk-UA"/>
        </w:rPr>
        <w:t>р˂0,05</w:t>
      </w:r>
    </w:p>
    <w:p w:rsidR="00211525" w:rsidRDefault="00211525" w:rsidP="0021152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Аналіз початкового рівня активності СОД демонструє </w:t>
      </w:r>
      <w:r>
        <w:rPr>
          <w:rFonts w:ascii="Times New Roman" w:hAnsi="Times New Roman"/>
          <w:sz w:val="28"/>
          <w:szCs w:val="28"/>
          <w:lang w:val="uk-UA"/>
        </w:rPr>
        <w:t xml:space="preserve">його </w:t>
      </w:r>
      <w:r w:rsidRPr="00DD39D0">
        <w:rPr>
          <w:rFonts w:ascii="Times New Roman" w:hAnsi="Times New Roman"/>
          <w:sz w:val="28"/>
          <w:szCs w:val="28"/>
          <w:lang w:val="uk-UA"/>
        </w:rPr>
        <w:t>зниження у першій, дру</w:t>
      </w:r>
      <w:r>
        <w:rPr>
          <w:rFonts w:ascii="Times New Roman" w:hAnsi="Times New Roman"/>
          <w:sz w:val="28"/>
          <w:szCs w:val="28"/>
          <w:lang w:val="uk-UA"/>
        </w:rPr>
        <w:t xml:space="preserve">гій, третій та четвертій групах. </w:t>
      </w:r>
      <w:r w:rsidRPr="00DD39D0">
        <w:rPr>
          <w:rFonts w:ascii="Times New Roman" w:hAnsi="Times New Roman"/>
          <w:sz w:val="28"/>
          <w:szCs w:val="28"/>
          <w:lang w:val="uk-UA"/>
        </w:rPr>
        <w:t xml:space="preserve">Динаміка спостережень показує зростання активності </w:t>
      </w:r>
      <w:r>
        <w:rPr>
          <w:rFonts w:ascii="Times New Roman" w:hAnsi="Times New Roman"/>
          <w:sz w:val="28"/>
          <w:szCs w:val="28"/>
          <w:lang w:val="uk-UA"/>
        </w:rPr>
        <w:t xml:space="preserve">СОД у першій та другій групах. </w:t>
      </w:r>
      <w:r w:rsidRPr="00DD39D0">
        <w:rPr>
          <w:rFonts w:ascii="Times New Roman" w:hAnsi="Times New Roman"/>
          <w:sz w:val="28"/>
          <w:szCs w:val="28"/>
          <w:lang w:val="uk-UA"/>
        </w:rPr>
        <w:t>Починаючи з шостого місяця, ми спостерігали достовірну різницю у показниках</w:t>
      </w:r>
      <w:r>
        <w:rPr>
          <w:rFonts w:ascii="Times New Roman" w:hAnsi="Times New Roman"/>
          <w:sz w:val="28"/>
          <w:szCs w:val="28"/>
          <w:lang w:val="uk-UA"/>
        </w:rPr>
        <w:t xml:space="preserve"> СОД</w:t>
      </w:r>
      <w:r w:rsidRPr="00DD39D0">
        <w:rPr>
          <w:rFonts w:ascii="Times New Roman" w:hAnsi="Times New Roman"/>
          <w:sz w:val="28"/>
          <w:szCs w:val="28"/>
          <w:lang w:val="uk-UA"/>
        </w:rPr>
        <w:t xml:space="preserve"> різних груп. Так, у першій групі пацієнтів відбулося статистично значиме (р˂0,05) збільшення показників у 1,73 рази</w:t>
      </w:r>
      <w:r>
        <w:rPr>
          <w:rFonts w:ascii="Times New Roman" w:hAnsi="Times New Roman"/>
          <w:sz w:val="28"/>
          <w:szCs w:val="28"/>
          <w:lang w:val="uk-UA"/>
        </w:rPr>
        <w:t>, активність СОД</w:t>
      </w:r>
      <w:r w:rsidRPr="00DD39D0">
        <w:rPr>
          <w:rFonts w:ascii="Times New Roman" w:hAnsi="Times New Roman"/>
          <w:sz w:val="28"/>
          <w:szCs w:val="28"/>
          <w:lang w:val="uk-UA"/>
        </w:rPr>
        <w:t xml:space="preserve"> склала 5.72±0.79 у.о./л., через дванадцять місяців 5.86±0.64 у.о./л, що у 1,76 рази більше за початковий рівень.</w:t>
      </w:r>
      <w:r>
        <w:rPr>
          <w:rFonts w:ascii="Times New Roman" w:hAnsi="Times New Roman"/>
          <w:sz w:val="28"/>
          <w:szCs w:val="28"/>
          <w:lang w:val="uk-UA"/>
        </w:rPr>
        <w:t xml:space="preserve"> </w:t>
      </w:r>
      <w:r w:rsidRPr="00DD39D0">
        <w:rPr>
          <w:rFonts w:ascii="Times New Roman" w:hAnsi="Times New Roman"/>
          <w:sz w:val="28"/>
          <w:szCs w:val="28"/>
          <w:lang w:val="uk-UA"/>
        </w:rPr>
        <w:t>Запобігання негативному впливу окислювального стресу та ліквідація його наслідків завдяки наявності антиоксидантних препаратів у програмі концептуально нової профілактики підтверджується збільшенням активності СОД через шість (5.63±0.67 у.о./л) та дванадцять (6.01±0.73 у.о./л) місяців у другій групі пацієнтів.</w:t>
      </w:r>
    </w:p>
    <w:p w:rsidR="00211525" w:rsidRDefault="00211525" w:rsidP="0021152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У третій групі пацієнтів рівень активності СОД залишався пониженим та дорівнював 3.23±0.60 у.о./л через шість місяців та 3.29±0.59 у.о./л через дванадцять місяців, що достовірно відрізняється від групи контролю. Серед пацієнтів четвертої групи так само активність СОД була незначною та дорівнювала 3.06±0.45 у.о./л через шість місяців та 3.44±0.59 у</w:t>
      </w:r>
      <w:r>
        <w:rPr>
          <w:rFonts w:ascii="Times New Roman" w:hAnsi="Times New Roman"/>
          <w:sz w:val="28"/>
          <w:szCs w:val="28"/>
          <w:lang w:val="uk-UA"/>
        </w:rPr>
        <w:t>.о./л через дванадцять місяців.</w:t>
      </w:r>
    </w:p>
    <w:p w:rsidR="00102DB5" w:rsidRPr="00DD39D0" w:rsidRDefault="00102DB5"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До лікування стан антиоксидантної системи за рівнем відновленого глутатіону</w:t>
      </w:r>
      <w:r w:rsidR="002F3A53">
        <w:rPr>
          <w:rFonts w:ascii="Times New Roman" w:hAnsi="Times New Roman"/>
          <w:sz w:val="28"/>
          <w:szCs w:val="28"/>
          <w:lang w:val="uk-UA"/>
        </w:rPr>
        <w:t xml:space="preserve"> (ВГ)</w:t>
      </w:r>
      <w:r w:rsidRPr="00DD39D0">
        <w:rPr>
          <w:rFonts w:ascii="Times New Roman" w:hAnsi="Times New Roman"/>
          <w:sz w:val="28"/>
          <w:szCs w:val="28"/>
          <w:lang w:val="uk-UA"/>
        </w:rPr>
        <w:t xml:space="preserve"> у першій, другій, третій та четвертій групах не мав </w:t>
      </w:r>
      <w:r w:rsidR="002F3A53">
        <w:rPr>
          <w:rFonts w:ascii="Times New Roman" w:hAnsi="Times New Roman"/>
          <w:sz w:val="28"/>
          <w:szCs w:val="28"/>
          <w:lang w:val="uk-UA"/>
        </w:rPr>
        <w:t>достовірних відмінностей. Динаміка змін показників ВГ</w:t>
      </w:r>
      <w:r w:rsidRPr="00DD39D0">
        <w:rPr>
          <w:rFonts w:ascii="Times New Roman" w:hAnsi="Times New Roman"/>
          <w:sz w:val="28"/>
          <w:szCs w:val="28"/>
          <w:lang w:val="uk-UA"/>
        </w:rPr>
        <w:t xml:space="preserve"> представлена у таблиці 3.</w:t>
      </w:r>
    </w:p>
    <w:p w:rsidR="00102DB5" w:rsidRPr="00DD39D0" w:rsidRDefault="00102DB5" w:rsidP="007F028B">
      <w:pPr>
        <w:spacing w:after="120" w:line="240" w:lineRule="auto"/>
        <w:ind w:firstLine="709"/>
        <w:jc w:val="right"/>
        <w:rPr>
          <w:rFonts w:ascii="Times New Roman" w:hAnsi="Times New Roman"/>
          <w:i/>
          <w:sz w:val="28"/>
          <w:szCs w:val="28"/>
          <w:lang w:val="uk-UA"/>
        </w:rPr>
      </w:pPr>
      <w:r w:rsidRPr="00DD39D0">
        <w:rPr>
          <w:rFonts w:ascii="Times New Roman" w:hAnsi="Times New Roman"/>
          <w:i/>
          <w:sz w:val="28"/>
          <w:szCs w:val="28"/>
          <w:lang w:val="uk-UA"/>
        </w:rPr>
        <w:t>Таблиця 3</w:t>
      </w:r>
    </w:p>
    <w:p w:rsidR="00102DB5" w:rsidRPr="0047086B" w:rsidRDefault="00102DB5" w:rsidP="007F028B">
      <w:pPr>
        <w:spacing w:after="120" w:line="240" w:lineRule="auto"/>
        <w:ind w:firstLine="709"/>
        <w:jc w:val="center"/>
        <w:rPr>
          <w:rFonts w:ascii="Times New Roman" w:hAnsi="Times New Roman"/>
          <w:b/>
          <w:sz w:val="28"/>
          <w:szCs w:val="28"/>
          <w:lang w:val="uk-UA"/>
        </w:rPr>
      </w:pPr>
      <w:r w:rsidRPr="0047086B">
        <w:rPr>
          <w:rFonts w:ascii="Times New Roman" w:hAnsi="Times New Roman"/>
          <w:b/>
          <w:sz w:val="28"/>
          <w:szCs w:val="28"/>
          <w:lang w:val="uk-UA"/>
        </w:rPr>
        <w:t>Динаміка змі</w:t>
      </w:r>
      <w:r w:rsidR="002F3A53">
        <w:rPr>
          <w:rFonts w:ascii="Times New Roman" w:hAnsi="Times New Roman"/>
          <w:b/>
          <w:sz w:val="28"/>
          <w:szCs w:val="28"/>
          <w:lang w:val="uk-UA"/>
        </w:rPr>
        <w:t>н рівню відновленого глутатіону</w:t>
      </w:r>
      <w:r w:rsidRPr="0047086B">
        <w:rPr>
          <w:rFonts w:ascii="Times New Roman" w:hAnsi="Times New Roman"/>
          <w:b/>
          <w:sz w:val="28"/>
          <w:szCs w:val="28"/>
          <w:lang w:val="uk-UA"/>
        </w:rPr>
        <w:t xml:space="preserve"> різних груп пацієнтів</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1418"/>
        <w:gridCol w:w="1417"/>
        <w:gridCol w:w="1559"/>
        <w:gridCol w:w="1570"/>
        <w:gridCol w:w="1483"/>
      </w:tblGrid>
      <w:tr w:rsidR="00102DB5" w:rsidRPr="008C1635" w:rsidTr="00CE785D">
        <w:trPr>
          <w:trHeight w:val="471"/>
          <w:jc w:val="center"/>
        </w:trPr>
        <w:tc>
          <w:tcPr>
            <w:tcW w:w="1838" w:type="dxa"/>
            <w:vMerge w:val="restart"/>
            <w:shd w:val="clear" w:color="auto" w:fill="auto"/>
          </w:tcPr>
          <w:p w:rsidR="00102DB5" w:rsidRPr="008C1635" w:rsidRDefault="00102DB5" w:rsidP="00102DB5">
            <w:pPr>
              <w:spacing w:after="0" w:line="240" w:lineRule="auto"/>
              <w:ind w:hanging="5"/>
              <w:jc w:val="center"/>
              <w:rPr>
                <w:rFonts w:ascii="Times New Roman" w:hAnsi="Times New Roman"/>
                <w:sz w:val="28"/>
                <w:szCs w:val="28"/>
                <w:lang w:val="uk-UA"/>
              </w:rPr>
            </w:pPr>
            <w:r w:rsidRPr="008C1635">
              <w:rPr>
                <w:rFonts w:ascii="Times New Roman" w:hAnsi="Times New Roman"/>
                <w:sz w:val="28"/>
                <w:szCs w:val="28"/>
                <w:lang w:val="uk-UA"/>
              </w:rPr>
              <w:t>Строк спостереження</w:t>
            </w:r>
          </w:p>
        </w:tc>
        <w:tc>
          <w:tcPr>
            <w:tcW w:w="7447" w:type="dxa"/>
            <w:gridSpan w:val="5"/>
            <w:shd w:val="clear" w:color="auto" w:fill="auto"/>
          </w:tcPr>
          <w:p w:rsidR="00102DB5" w:rsidRPr="008C1635" w:rsidRDefault="00102DB5" w:rsidP="00102DB5">
            <w:pPr>
              <w:spacing w:after="0" w:line="240" w:lineRule="auto"/>
              <w:ind w:firstLine="709"/>
              <w:jc w:val="center"/>
              <w:rPr>
                <w:rFonts w:ascii="Times New Roman" w:hAnsi="Times New Roman"/>
                <w:sz w:val="28"/>
                <w:szCs w:val="28"/>
                <w:lang w:val="uk-UA"/>
              </w:rPr>
            </w:pPr>
            <w:r w:rsidRPr="008C1635">
              <w:rPr>
                <w:rFonts w:ascii="Times New Roman" w:hAnsi="Times New Roman"/>
                <w:sz w:val="28"/>
                <w:szCs w:val="28"/>
                <w:lang w:val="uk-UA"/>
              </w:rPr>
              <w:t>Відновлений глутатіон, ммоль/л</w:t>
            </w:r>
          </w:p>
        </w:tc>
      </w:tr>
      <w:tr w:rsidR="00102DB5" w:rsidRPr="008C1635" w:rsidTr="00CE785D">
        <w:trPr>
          <w:trHeight w:val="486"/>
          <w:jc w:val="center"/>
        </w:trPr>
        <w:tc>
          <w:tcPr>
            <w:tcW w:w="1838" w:type="dxa"/>
            <w:vMerge/>
            <w:shd w:val="clear" w:color="auto" w:fill="auto"/>
          </w:tcPr>
          <w:p w:rsidR="00102DB5" w:rsidRPr="008C1635" w:rsidRDefault="00102DB5" w:rsidP="00102DB5">
            <w:pPr>
              <w:spacing w:after="0" w:line="240" w:lineRule="auto"/>
              <w:ind w:hanging="5"/>
              <w:jc w:val="center"/>
              <w:rPr>
                <w:rFonts w:ascii="Times New Roman" w:hAnsi="Times New Roman"/>
                <w:sz w:val="28"/>
                <w:szCs w:val="28"/>
                <w:lang w:val="uk-UA"/>
              </w:rPr>
            </w:pPr>
          </w:p>
        </w:tc>
        <w:tc>
          <w:tcPr>
            <w:tcW w:w="1418" w:type="dxa"/>
            <w:shd w:val="clear" w:color="auto" w:fill="auto"/>
          </w:tcPr>
          <w:p w:rsidR="00102DB5" w:rsidRPr="008C1635" w:rsidRDefault="00102DB5" w:rsidP="00102DB5">
            <w:pPr>
              <w:spacing w:after="0" w:line="240" w:lineRule="auto"/>
              <w:rPr>
                <w:rFonts w:ascii="Times New Roman" w:hAnsi="Times New Roman"/>
                <w:sz w:val="28"/>
                <w:szCs w:val="28"/>
                <w:lang w:val="uk-UA"/>
              </w:rPr>
            </w:pPr>
            <w:r w:rsidRPr="008C1635">
              <w:rPr>
                <w:rFonts w:ascii="Times New Roman" w:hAnsi="Times New Roman"/>
                <w:sz w:val="28"/>
                <w:szCs w:val="28"/>
                <w:lang w:val="uk-UA"/>
              </w:rPr>
              <w:t>Група 1 (</w:t>
            </w:r>
            <w:r w:rsidRPr="008C1635">
              <w:rPr>
                <w:rFonts w:ascii="Times New Roman" w:hAnsi="Times New Roman"/>
                <w:sz w:val="28"/>
                <w:szCs w:val="28"/>
              </w:rPr>
              <w:t>n=</w:t>
            </w:r>
            <w:r w:rsidRPr="008C1635">
              <w:rPr>
                <w:rFonts w:ascii="Times New Roman" w:hAnsi="Times New Roman"/>
                <w:sz w:val="28"/>
                <w:szCs w:val="28"/>
                <w:lang w:val="ru-RU"/>
              </w:rPr>
              <w:t>76</w:t>
            </w:r>
            <w:r w:rsidRPr="008C1635">
              <w:rPr>
                <w:rFonts w:ascii="Times New Roman" w:hAnsi="Times New Roman"/>
                <w:sz w:val="28"/>
                <w:szCs w:val="28"/>
                <w:lang w:val="uk-UA"/>
              </w:rPr>
              <w:t>)</w:t>
            </w:r>
          </w:p>
        </w:tc>
        <w:tc>
          <w:tcPr>
            <w:tcW w:w="1417" w:type="dxa"/>
            <w:shd w:val="clear" w:color="auto" w:fill="auto"/>
          </w:tcPr>
          <w:p w:rsidR="00102DB5" w:rsidRPr="008C1635" w:rsidRDefault="00102DB5" w:rsidP="00102DB5">
            <w:pPr>
              <w:spacing w:after="0" w:line="240" w:lineRule="auto"/>
              <w:rPr>
                <w:rFonts w:ascii="Times New Roman" w:hAnsi="Times New Roman"/>
                <w:sz w:val="28"/>
                <w:szCs w:val="28"/>
                <w:lang w:val="uk-UA"/>
              </w:rPr>
            </w:pPr>
            <w:r w:rsidRPr="008C1635">
              <w:rPr>
                <w:rFonts w:ascii="Times New Roman" w:hAnsi="Times New Roman"/>
                <w:sz w:val="28"/>
                <w:szCs w:val="28"/>
                <w:lang w:val="uk-UA"/>
              </w:rPr>
              <w:t>Група 2 (n=50)</w:t>
            </w:r>
          </w:p>
        </w:tc>
        <w:tc>
          <w:tcPr>
            <w:tcW w:w="1559"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Група 3 (n=30)</w:t>
            </w:r>
          </w:p>
        </w:tc>
        <w:tc>
          <w:tcPr>
            <w:tcW w:w="1570"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Група 4</w:t>
            </w:r>
            <w:r w:rsidRPr="008C1635">
              <w:rPr>
                <w:rFonts w:ascii="Times New Roman" w:hAnsi="Times New Roman"/>
                <w:sz w:val="28"/>
                <w:szCs w:val="28"/>
                <w:lang w:val="uk-UA"/>
              </w:rPr>
              <w:br/>
              <w:t>(n=30)</w:t>
            </w:r>
          </w:p>
        </w:tc>
        <w:tc>
          <w:tcPr>
            <w:tcW w:w="1483"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 xml:space="preserve">Група 5 </w:t>
            </w:r>
            <w:r w:rsidRPr="008C1635">
              <w:rPr>
                <w:rFonts w:ascii="Times New Roman" w:hAnsi="Times New Roman"/>
                <w:sz w:val="28"/>
                <w:szCs w:val="28"/>
                <w:lang w:val="uk-UA"/>
              </w:rPr>
              <w:br/>
              <w:t>(n=35)</w:t>
            </w:r>
          </w:p>
        </w:tc>
      </w:tr>
      <w:tr w:rsidR="00102DB5" w:rsidRPr="008C1635" w:rsidTr="00CE785D">
        <w:trPr>
          <w:trHeight w:val="429"/>
          <w:jc w:val="center"/>
        </w:trPr>
        <w:tc>
          <w:tcPr>
            <w:tcW w:w="1838" w:type="dxa"/>
            <w:shd w:val="clear" w:color="auto" w:fill="auto"/>
          </w:tcPr>
          <w:p w:rsidR="00102DB5" w:rsidRPr="008C1635" w:rsidRDefault="00102DB5" w:rsidP="00102DB5">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До лікування</w:t>
            </w:r>
          </w:p>
        </w:tc>
        <w:tc>
          <w:tcPr>
            <w:tcW w:w="1418" w:type="dxa"/>
            <w:shd w:val="clear" w:color="auto" w:fill="auto"/>
          </w:tcPr>
          <w:p w:rsidR="00102DB5" w:rsidRPr="008C1635" w:rsidRDefault="00102DB5" w:rsidP="00102DB5">
            <w:pPr>
              <w:spacing w:after="0" w:line="240" w:lineRule="auto"/>
              <w:rPr>
                <w:rFonts w:ascii="Times New Roman" w:hAnsi="Times New Roman"/>
                <w:sz w:val="28"/>
                <w:szCs w:val="28"/>
                <w:lang w:val="uk-UA"/>
              </w:rPr>
            </w:pPr>
            <w:r w:rsidRPr="008C1635">
              <w:rPr>
                <w:rFonts w:ascii="Times New Roman" w:hAnsi="Times New Roman"/>
                <w:sz w:val="28"/>
                <w:szCs w:val="28"/>
                <w:lang w:val="uk-UA"/>
              </w:rPr>
              <w:t>2.31±0.44</w:t>
            </w:r>
          </w:p>
        </w:tc>
        <w:tc>
          <w:tcPr>
            <w:tcW w:w="1417"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2.69±0.56</w:t>
            </w:r>
          </w:p>
        </w:tc>
        <w:tc>
          <w:tcPr>
            <w:tcW w:w="1559"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2.73±0.58</w:t>
            </w:r>
          </w:p>
        </w:tc>
        <w:tc>
          <w:tcPr>
            <w:tcW w:w="1570"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2.67±0.51</w:t>
            </w:r>
          </w:p>
        </w:tc>
        <w:tc>
          <w:tcPr>
            <w:tcW w:w="1483"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5.12±0.66</w:t>
            </w:r>
          </w:p>
        </w:tc>
      </w:tr>
      <w:tr w:rsidR="00102DB5" w:rsidRPr="008C1635" w:rsidTr="00CE785D">
        <w:trPr>
          <w:trHeight w:val="427"/>
          <w:jc w:val="center"/>
        </w:trPr>
        <w:tc>
          <w:tcPr>
            <w:tcW w:w="1838" w:type="dxa"/>
            <w:shd w:val="clear" w:color="auto" w:fill="auto"/>
          </w:tcPr>
          <w:p w:rsidR="00102DB5" w:rsidRPr="008C1635" w:rsidRDefault="00102DB5" w:rsidP="00102DB5">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 xml:space="preserve">Через 6 місяців </w:t>
            </w:r>
          </w:p>
        </w:tc>
        <w:tc>
          <w:tcPr>
            <w:tcW w:w="1418" w:type="dxa"/>
            <w:shd w:val="clear" w:color="auto" w:fill="auto"/>
          </w:tcPr>
          <w:p w:rsidR="00102DB5" w:rsidRPr="008C1635" w:rsidRDefault="00102DB5" w:rsidP="00102DB5">
            <w:pPr>
              <w:spacing w:after="0" w:line="240" w:lineRule="auto"/>
              <w:rPr>
                <w:rFonts w:ascii="Times New Roman" w:hAnsi="Times New Roman"/>
                <w:sz w:val="28"/>
                <w:szCs w:val="28"/>
                <w:lang w:val="uk-UA"/>
              </w:rPr>
            </w:pPr>
            <w:r w:rsidRPr="008C1635">
              <w:rPr>
                <w:rFonts w:ascii="Times New Roman" w:hAnsi="Times New Roman"/>
                <w:sz w:val="28"/>
                <w:szCs w:val="28"/>
                <w:lang w:val="uk-UA"/>
              </w:rPr>
              <w:t>5.52±0.68*</w:t>
            </w:r>
            <w:r w:rsidR="00AE1C43" w:rsidRPr="00AE1C43">
              <w:rPr>
                <w:rFonts w:ascii="Times New Roman" w:hAnsi="Times New Roman"/>
                <w:sz w:val="28"/>
                <w:szCs w:val="28"/>
                <w:vertAlign w:val="superscript"/>
                <w:lang w:val="uk-UA"/>
              </w:rPr>
              <w:t>1</w:t>
            </w:r>
          </w:p>
        </w:tc>
        <w:tc>
          <w:tcPr>
            <w:tcW w:w="1417"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5.60±0.76*</w:t>
            </w:r>
            <w:r w:rsidR="00AE1C43" w:rsidRPr="00AE1C43">
              <w:rPr>
                <w:rFonts w:ascii="Times New Roman" w:hAnsi="Times New Roman"/>
                <w:sz w:val="28"/>
                <w:szCs w:val="28"/>
                <w:vertAlign w:val="superscript"/>
                <w:lang w:val="uk-UA"/>
              </w:rPr>
              <w:t>2</w:t>
            </w:r>
          </w:p>
        </w:tc>
        <w:tc>
          <w:tcPr>
            <w:tcW w:w="1559"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2.82±0.54</w:t>
            </w:r>
          </w:p>
        </w:tc>
        <w:tc>
          <w:tcPr>
            <w:tcW w:w="1570"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2.52±0.48</w:t>
            </w:r>
          </w:p>
        </w:tc>
        <w:tc>
          <w:tcPr>
            <w:tcW w:w="1483"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5.41±0.57</w:t>
            </w:r>
          </w:p>
        </w:tc>
      </w:tr>
      <w:tr w:rsidR="00102DB5" w:rsidRPr="008C1635" w:rsidTr="00CE785D">
        <w:trPr>
          <w:trHeight w:val="577"/>
          <w:jc w:val="center"/>
        </w:trPr>
        <w:tc>
          <w:tcPr>
            <w:tcW w:w="1838" w:type="dxa"/>
            <w:shd w:val="clear" w:color="auto" w:fill="auto"/>
          </w:tcPr>
          <w:p w:rsidR="00102DB5" w:rsidRPr="008C1635" w:rsidRDefault="00102DB5" w:rsidP="00102DB5">
            <w:pPr>
              <w:spacing w:after="0" w:line="240" w:lineRule="auto"/>
              <w:ind w:hanging="5"/>
              <w:rPr>
                <w:rFonts w:ascii="Times New Roman" w:hAnsi="Times New Roman"/>
                <w:sz w:val="28"/>
                <w:szCs w:val="28"/>
                <w:lang w:val="uk-UA"/>
              </w:rPr>
            </w:pPr>
            <w:r w:rsidRPr="008C1635">
              <w:rPr>
                <w:rFonts w:ascii="Times New Roman" w:hAnsi="Times New Roman"/>
                <w:sz w:val="28"/>
                <w:szCs w:val="28"/>
                <w:lang w:val="uk-UA"/>
              </w:rPr>
              <w:t>Через 12 місяців</w:t>
            </w:r>
          </w:p>
        </w:tc>
        <w:tc>
          <w:tcPr>
            <w:tcW w:w="1418" w:type="dxa"/>
            <w:shd w:val="clear" w:color="auto" w:fill="auto"/>
          </w:tcPr>
          <w:p w:rsidR="00102DB5" w:rsidRPr="008C1635" w:rsidRDefault="00102DB5" w:rsidP="00102DB5">
            <w:pPr>
              <w:spacing w:after="0" w:line="240" w:lineRule="auto"/>
              <w:rPr>
                <w:rFonts w:ascii="Times New Roman" w:hAnsi="Times New Roman"/>
                <w:sz w:val="28"/>
                <w:szCs w:val="28"/>
                <w:lang w:val="uk-UA"/>
              </w:rPr>
            </w:pPr>
            <w:r w:rsidRPr="008C1635">
              <w:rPr>
                <w:rFonts w:ascii="Times New Roman" w:hAnsi="Times New Roman"/>
                <w:sz w:val="28"/>
                <w:szCs w:val="28"/>
                <w:lang w:val="uk-UA"/>
              </w:rPr>
              <w:t>5.63±0.74*</w:t>
            </w:r>
            <w:r w:rsidR="00AE1C43" w:rsidRPr="00AE1C43">
              <w:rPr>
                <w:rFonts w:ascii="Times New Roman" w:hAnsi="Times New Roman"/>
                <w:sz w:val="28"/>
                <w:szCs w:val="28"/>
                <w:vertAlign w:val="superscript"/>
                <w:lang w:val="uk-UA"/>
              </w:rPr>
              <w:t>1</w:t>
            </w:r>
          </w:p>
        </w:tc>
        <w:tc>
          <w:tcPr>
            <w:tcW w:w="1417"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4.82±0.73*</w:t>
            </w:r>
            <w:r w:rsidR="00AE1C43" w:rsidRPr="00AE1C43">
              <w:rPr>
                <w:rFonts w:ascii="Times New Roman" w:hAnsi="Times New Roman"/>
                <w:sz w:val="28"/>
                <w:szCs w:val="28"/>
                <w:vertAlign w:val="superscript"/>
                <w:lang w:val="uk-UA"/>
              </w:rPr>
              <w:t>2</w:t>
            </w:r>
          </w:p>
        </w:tc>
        <w:tc>
          <w:tcPr>
            <w:tcW w:w="1559"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2.47±0.59</w:t>
            </w:r>
          </w:p>
        </w:tc>
        <w:tc>
          <w:tcPr>
            <w:tcW w:w="1570"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2.40±0.42</w:t>
            </w:r>
          </w:p>
        </w:tc>
        <w:tc>
          <w:tcPr>
            <w:tcW w:w="1483" w:type="dxa"/>
            <w:shd w:val="clear" w:color="auto" w:fill="auto"/>
          </w:tcPr>
          <w:p w:rsidR="00102DB5" w:rsidRPr="008C1635" w:rsidRDefault="00102DB5" w:rsidP="00102DB5">
            <w:pPr>
              <w:spacing w:after="0" w:line="240" w:lineRule="auto"/>
              <w:jc w:val="center"/>
              <w:rPr>
                <w:rFonts w:ascii="Times New Roman" w:hAnsi="Times New Roman"/>
                <w:sz w:val="28"/>
                <w:szCs w:val="28"/>
                <w:lang w:val="uk-UA"/>
              </w:rPr>
            </w:pPr>
            <w:r w:rsidRPr="008C1635">
              <w:rPr>
                <w:rFonts w:ascii="Times New Roman" w:hAnsi="Times New Roman"/>
                <w:sz w:val="28"/>
                <w:szCs w:val="28"/>
                <w:lang w:val="uk-UA"/>
              </w:rPr>
              <w:t>5.27±0.74</w:t>
            </w:r>
          </w:p>
        </w:tc>
      </w:tr>
    </w:tbl>
    <w:p w:rsidR="00AE1C43" w:rsidRDefault="00AE1C43" w:rsidP="00AE1C43">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Примітка: * - статистично значима різниця відносно початкового рівня, р˂0,05</w:t>
      </w:r>
    </w:p>
    <w:p w:rsidR="00AE1C43" w:rsidRDefault="00AE1C43" w:rsidP="00AE1C43">
      <w:pPr>
        <w:spacing w:after="0" w:line="240" w:lineRule="auto"/>
        <w:jc w:val="both"/>
        <w:rPr>
          <w:rFonts w:ascii="Times New Roman" w:hAnsi="Times New Roman"/>
          <w:sz w:val="28"/>
          <w:szCs w:val="28"/>
          <w:lang w:val="uk-UA"/>
        </w:rPr>
      </w:pPr>
      <w:r w:rsidRPr="00AE1C43">
        <w:rPr>
          <w:rFonts w:ascii="Times New Roman" w:hAnsi="Times New Roman"/>
          <w:sz w:val="28"/>
          <w:szCs w:val="28"/>
          <w:vertAlign w:val="superscript"/>
          <w:lang w:val="uk-UA"/>
        </w:rPr>
        <w:t>1</w:t>
      </w:r>
      <w:r>
        <w:rPr>
          <w:rFonts w:ascii="Times New Roman" w:hAnsi="Times New Roman"/>
          <w:sz w:val="28"/>
          <w:szCs w:val="28"/>
          <w:lang w:val="uk-UA"/>
        </w:rPr>
        <w:t xml:space="preserve"> - статистично значима різниця у порівнянні з третьою групою пацієнтів, </w:t>
      </w:r>
      <w:r w:rsidRPr="00DD39D0">
        <w:rPr>
          <w:rFonts w:ascii="Times New Roman" w:hAnsi="Times New Roman"/>
          <w:sz w:val="28"/>
          <w:szCs w:val="28"/>
          <w:lang w:val="uk-UA"/>
        </w:rPr>
        <w:t>р˂0,05</w:t>
      </w:r>
    </w:p>
    <w:p w:rsidR="00AE1C43" w:rsidRDefault="00AE1C43" w:rsidP="00AE1C43">
      <w:pPr>
        <w:spacing w:after="0" w:line="240" w:lineRule="auto"/>
        <w:jc w:val="both"/>
        <w:rPr>
          <w:rFonts w:ascii="Times New Roman" w:hAnsi="Times New Roman"/>
          <w:sz w:val="28"/>
          <w:szCs w:val="28"/>
          <w:lang w:val="uk-UA"/>
        </w:rPr>
      </w:pPr>
      <w:r w:rsidRPr="00AE1C43">
        <w:rPr>
          <w:rFonts w:ascii="Times New Roman" w:hAnsi="Times New Roman"/>
          <w:sz w:val="28"/>
          <w:szCs w:val="28"/>
          <w:vertAlign w:val="superscript"/>
          <w:lang w:val="uk-UA"/>
        </w:rPr>
        <w:lastRenderedPageBreak/>
        <w:t>2</w:t>
      </w:r>
      <w:r>
        <w:rPr>
          <w:rFonts w:ascii="Times New Roman" w:hAnsi="Times New Roman"/>
          <w:sz w:val="28"/>
          <w:szCs w:val="28"/>
          <w:vertAlign w:val="superscript"/>
          <w:lang w:val="uk-UA"/>
        </w:rPr>
        <w:t xml:space="preserve"> </w:t>
      </w:r>
      <w:r>
        <w:rPr>
          <w:rFonts w:ascii="Times New Roman" w:hAnsi="Times New Roman"/>
          <w:sz w:val="28"/>
          <w:szCs w:val="28"/>
          <w:lang w:val="uk-UA"/>
        </w:rPr>
        <w:t xml:space="preserve">- статистично значима різниця у порівнянні з четвертою групою пацієнтів, </w:t>
      </w:r>
      <w:r w:rsidRPr="00DD39D0">
        <w:rPr>
          <w:rFonts w:ascii="Times New Roman" w:hAnsi="Times New Roman"/>
          <w:sz w:val="28"/>
          <w:szCs w:val="28"/>
          <w:lang w:val="uk-UA"/>
        </w:rPr>
        <w:t>р˂0,05</w:t>
      </w:r>
    </w:p>
    <w:p w:rsidR="00102DB5" w:rsidRPr="00DD39D0" w:rsidRDefault="00102DB5"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При вивченні показників першої групи, характерним було зниження антиоксидантного захисту на початку лікування, коли рівень відновленого глутатіону дорівнював 2.31 ± 0.44 ммоль/л, проте після застосування концептуально нової програми лікування рівень глутатіону збільшився до рівня 5.52 ± 0.68 ммоль/л через шість місяців та 5.63 ± 0.74 ммоль/л через дванадцять місяців, що достовірно (р˂0,05) відрізнялося від початкового рівня.</w:t>
      </w:r>
    </w:p>
    <w:p w:rsidR="00CE2AF1" w:rsidRPr="00DD39D0" w:rsidRDefault="00CE2AF1"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У третій групі пацієнтів, хворих на атопічні захворювання та хронічний гінгівіт, також було зафіксовано зниження рівню глутатіону (2.73 ± 0.58 ммоль/л). Проте, на відміну від першої групи, позитивної динаміки після проведення традиційного лікування згідно з протоколами надання медичної допомоги, ми не спостерігали. Рівень глутатіону не мав достовірної (р˂0,05) різниці з початковими показниками та дорівнював 2.82 ± 0.54 ммоль/л та 2.47 ± 0.59 ммоль/л через шість та дванадцять місяців відповідно. При аналізі показників четвертої групи також характерною ознакою було зниження ступеню антиоксидантного захисту на початку дослідження та відсутність позитивної динаміки після здійснення профілактичних заходів. Так, на початку дослідження рівень відновленого глутатіону знаходився на позначці 2.67 ± 0.51 ммоль/л, через шість місяців дорівнював 2.52 ± 0.48 ммоль/л, через дванадцять місяців 2.40 ± 0.42 ммоль/л</w:t>
      </w:r>
      <w:r w:rsidR="002F3A53">
        <w:rPr>
          <w:rFonts w:ascii="Times New Roman" w:hAnsi="Times New Roman"/>
          <w:sz w:val="28"/>
          <w:szCs w:val="28"/>
          <w:lang w:val="uk-UA"/>
        </w:rPr>
        <w:t xml:space="preserve"> у четвертій групі пацієнтів</w:t>
      </w:r>
      <w:r w:rsidRPr="00DD39D0">
        <w:rPr>
          <w:rFonts w:ascii="Times New Roman" w:hAnsi="Times New Roman"/>
          <w:sz w:val="28"/>
          <w:szCs w:val="28"/>
          <w:lang w:val="uk-UA"/>
        </w:rPr>
        <w:t>.</w:t>
      </w:r>
    </w:p>
    <w:p w:rsidR="00102DB5" w:rsidRPr="00DD39D0" w:rsidRDefault="00CE2AF1"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Проведене дослідження обумовлює включення компоненту корекції антиоксидантного захисту у програми лікування та профілактики хронічного гінгівіту на тлі атопічних захворювань. Отримані результати доводять можливість використання рівня відновленого глутатіону як біомаркеру для</w:t>
      </w:r>
      <w:r w:rsidR="002F3A53">
        <w:rPr>
          <w:rFonts w:ascii="Times New Roman" w:hAnsi="Times New Roman"/>
          <w:sz w:val="28"/>
          <w:szCs w:val="28"/>
          <w:lang w:val="uk-UA"/>
        </w:rPr>
        <w:t xml:space="preserve"> характеристики запалення тканин пародонту</w:t>
      </w:r>
      <w:r w:rsidRPr="00DD39D0">
        <w:rPr>
          <w:rFonts w:ascii="Times New Roman" w:hAnsi="Times New Roman"/>
          <w:sz w:val="28"/>
          <w:szCs w:val="28"/>
          <w:lang w:val="uk-UA"/>
        </w:rPr>
        <w:t>, так і для прогнозу майбутньої ініціації захворювання у теперішніх пародонтологічно здорових осіб.</w:t>
      </w:r>
    </w:p>
    <w:p w:rsidR="00CE2AF1" w:rsidRPr="00DD39D0" w:rsidRDefault="00CE2AF1"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Для оцінювання імунного статусу нами було проведене комплексне дослідження найбільш вагомих показників стану імунітету, а саме дослідження </w:t>
      </w:r>
      <w:r w:rsidRPr="00DD39D0">
        <w:rPr>
          <w:rFonts w:ascii="Times New Roman" w:hAnsi="Times New Roman"/>
          <w:sz w:val="28"/>
          <w:szCs w:val="28"/>
        </w:rPr>
        <w:t>sIgA</w:t>
      </w:r>
      <w:r w:rsidRPr="00DD39D0">
        <w:rPr>
          <w:rFonts w:ascii="Times New Roman" w:hAnsi="Times New Roman"/>
          <w:sz w:val="28"/>
          <w:szCs w:val="28"/>
          <w:lang w:val="uk-UA"/>
        </w:rPr>
        <w:t xml:space="preserve">, </w:t>
      </w:r>
      <w:r w:rsidRPr="00DD39D0">
        <w:rPr>
          <w:rFonts w:ascii="Times New Roman" w:hAnsi="Times New Roman"/>
          <w:sz w:val="28"/>
          <w:szCs w:val="28"/>
        </w:rPr>
        <w:t>IgA</w:t>
      </w:r>
      <w:r w:rsidRPr="00DD39D0">
        <w:rPr>
          <w:rFonts w:ascii="Times New Roman" w:hAnsi="Times New Roman"/>
          <w:sz w:val="28"/>
          <w:szCs w:val="28"/>
          <w:lang w:val="uk-UA"/>
        </w:rPr>
        <w:t xml:space="preserve">, </w:t>
      </w:r>
      <w:r w:rsidRPr="00DD39D0">
        <w:rPr>
          <w:rFonts w:ascii="Times New Roman" w:hAnsi="Times New Roman"/>
          <w:sz w:val="28"/>
          <w:szCs w:val="28"/>
        </w:rPr>
        <w:t>IgG</w:t>
      </w:r>
      <w:r w:rsidRPr="00DD39D0">
        <w:rPr>
          <w:rFonts w:ascii="Times New Roman" w:hAnsi="Times New Roman"/>
          <w:sz w:val="28"/>
          <w:szCs w:val="28"/>
          <w:lang w:val="uk-UA"/>
        </w:rPr>
        <w:t xml:space="preserve">, </w:t>
      </w:r>
      <w:r w:rsidRPr="00DD39D0">
        <w:rPr>
          <w:rFonts w:ascii="Times New Roman" w:hAnsi="Times New Roman"/>
          <w:sz w:val="28"/>
          <w:szCs w:val="28"/>
        </w:rPr>
        <w:t>IgM</w:t>
      </w:r>
      <w:r w:rsidRPr="00DD39D0">
        <w:rPr>
          <w:rFonts w:ascii="Times New Roman" w:hAnsi="Times New Roman"/>
          <w:sz w:val="28"/>
          <w:szCs w:val="28"/>
          <w:lang w:val="uk-UA"/>
        </w:rPr>
        <w:t xml:space="preserve"> та лізоциму.</w:t>
      </w:r>
    </w:p>
    <w:p w:rsidR="00A8114E" w:rsidRPr="00DD39D0" w:rsidRDefault="00524FA2"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Згідно з отриманими даними у першій групі пацієнтів, хронічний гінгівіт у дітей з атопічними захворюваннями розвивався на тлі зниженого імунного захисту, рівень секреторного імуноглобуліну А знаходився на рівні 78.06 ± 9.32 мг/л до проведення лікування. Через шість та дванадцять місяців рівень секреторного імуноглобуліну А збільшився відносно початкового рівню у 0,67 та 0,64 рази та досяг рівня 117.61 ± 14.03 мг/л та 121.42 ± 11.95 мг/л відповідно. Аналіз динаміки показників секреторного імуноглобуліну А другої групи пацієнтів показав зниження імунного захисту ротової порожнини, а саме зниження рівня </w:t>
      </w:r>
      <w:r w:rsidRPr="00DD39D0">
        <w:rPr>
          <w:rFonts w:ascii="Times New Roman" w:hAnsi="Times New Roman"/>
          <w:sz w:val="28"/>
          <w:szCs w:val="28"/>
        </w:rPr>
        <w:t>sIgA</w:t>
      </w:r>
      <w:r w:rsidRPr="00DD39D0">
        <w:rPr>
          <w:rFonts w:ascii="Times New Roman" w:hAnsi="Times New Roman"/>
          <w:sz w:val="28"/>
          <w:szCs w:val="28"/>
          <w:lang w:val="uk-UA"/>
        </w:rPr>
        <w:t xml:space="preserve"> до рівня 75.41 ± 9.04 мг/л. Через шість та дванадцять місяців після проведення програми профілактики гінгівіту, ми спостерігали нормалізацію стану мукозального імунітету згідно з рівнем секреторного імуноглобуліну А, який дорівнював 111.84 ± 5.88 мг/л та 122.03 ± 11.68 мг/л </w:t>
      </w:r>
      <w:r w:rsidRPr="00DD39D0">
        <w:rPr>
          <w:rFonts w:ascii="Times New Roman" w:hAnsi="Times New Roman"/>
          <w:sz w:val="28"/>
          <w:szCs w:val="28"/>
          <w:lang w:val="uk-UA"/>
        </w:rPr>
        <w:lastRenderedPageBreak/>
        <w:t xml:space="preserve">відповідно, що склало достовірну (р˂0,05) різницю з початковим рівнем. На початку дослідження рівень секреторного імуноглобуліну А у третій групі пацієнтів, хворих на атопічні захворювання та гінгівіт, знаходився на рівні 76.09 ± 9.33 мг/л. Проте аналіз даних показників через шість та дванадцять місяців не виявив покращення стану мукозального імунітету, що полягало у відсутності достовірної різниці у показниках. Через шість місяців нами був констатований середній рівень секреторного імуноглобуліну А 77.10 ± 8.36 мг/л, через шість місяців 80.13 ± 6.29 мг/л. Аналогічною ситуація була у четвертій групі пацієнтів, рівень секреторного імуноглобуліну А знаходився на рівні 76.71 ± 10.53 мг/л на початку дослідження, через шість місяців він дорівнював 75.28 ± 7.02 мг/л, через дванадцять місяців ми зафіксували позначку у 80.71 ± 7.04 мг/л. </w:t>
      </w:r>
    </w:p>
    <w:p w:rsidR="00CE2AF1" w:rsidRPr="00DD39D0" w:rsidRDefault="00524FA2"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Дослідження рівню загального імуноглобуліну А виявило схожу тенденцію</w:t>
      </w:r>
      <w:r w:rsidR="00ED66C2" w:rsidRPr="00DD39D0">
        <w:rPr>
          <w:rFonts w:ascii="Times New Roman" w:hAnsi="Times New Roman"/>
          <w:sz w:val="28"/>
          <w:szCs w:val="28"/>
          <w:lang w:val="uk-UA"/>
        </w:rPr>
        <w:t xml:space="preserve"> серед усіх груп</w:t>
      </w:r>
      <w:r w:rsidRPr="00DD39D0">
        <w:rPr>
          <w:rFonts w:ascii="Times New Roman" w:hAnsi="Times New Roman"/>
          <w:sz w:val="28"/>
          <w:szCs w:val="28"/>
          <w:lang w:val="uk-UA"/>
        </w:rPr>
        <w:t>. До проведення лікування рівень імуноглобуліну А</w:t>
      </w:r>
      <w:r w:rsidR="00ED66C2" w:rsidRPr="00DD39D0">
        <w:rPr>
          <w:rFonts w:ascii="Times New Roman" w:hAnsi="Times New Roman"/>
          <w:sz w:val="28"/>
          <w:szCs w:val="28"/>
          <w:lang w:val="uk-UA"/>
        </w:rPr>
        <w:t xml:space="preserve"> у першій групі</w:t>
      </w:r>
      <w:r w:rsidRPr="00DD39D0">
        <w:rPr>
          <w:rFonts w:ascii="Times New Roman" w:hAnsi="Times New Roman"/>
          <w:sz w:val="28"/>
          <w:szCs w:val="28"/>
          <w:lang w:val="uk-UA"/>
        </w:rPr>
        <w:t xml:space="preserve"> знаходився на рівні 2.06 ± 0.41 г/л, у той час як у контрольній групі даний показник був на рівні 5.04 ± 1.19 г/л. Після проведення лікувальних заходів за запропонованою нами методикою з використанням імунокорегуючої терапії показники імуноглобуліну А нормалізувалися та дорівнювали 6.58 ± 0.73 г/л через шість місяців та 6.40 ± 0.69 г/л через дванадцять місяців, що становить статистично значиму</w:t>
      </w:r>
      <w:r w:rsidR="00ED66C2" w:rsidRPr="00DD39D0">
        <w:rPr>
          <w:rFonts w:ascii="Times New Roman" w:hAnsi="Times New Roman"/>
          <w:sz w:val="28"/>
          <w:szCs w:val="28"/>
          <w:lang w:val="uk-UA"/>
        </w:rPr>
        <w:t xml:space="preserve"> (р˂0,05)</w:t>
      </w:r>
      <w:r w:rsidRPr="00DD39D0">
        <w:rPr>
          <w:rFonts w:ascii="Times New Roman" w:hAnsi="Times New Roman"/>
          <w:sz w:val="28"/>
          <w:szCs w:val="28"/>
          <w:lang w:val="uk-UA"/>
        </w:rPr>
        <w:t xml:space="preserve"> різницю з початковими показниками. </w:t>
      </w:r>
      <w:r w:rsidR="00ED66C2" w:rsidRPr="00DD39D0">
        <w:rPr>
          <w:rFonts w:ascii="Times New Roman" w:hAnsi="Times New Roman"/>
          <w:sz w:val="28"/>
          <w:szCs w:val="28"/>
          <w:lang w:val="uk-UA"/>
        </w:rPr>
        <w:t xml:space="preserve">Показники другої групи пацієнтів так само свідчили про нормалізацію стану імунної системи. У третій та четвертій групі пацієнтів позитивної динаміки не спостерігали, через дванадцять місяців </w:t>
      </w:r>
      <w:r w:rsidR="00ED66C2" w:rsidRPr="00DD39D0">
        <w:rPr>
          <w:rFonts w:ascii="Times New Roman" w:hAnsi="Times New Roman"/>
          <w:sz w:val="28"/>
          <w:szCs w:val="28"/>
        </w:rPr>
        <w:t>Ig</w:t>
      </w:r>
      <w:r w:rsidR="00ED66C2" w:rsidRPr="00DD39D0">
        <w:rPr>
          <w:rFonts w:ascii="Times New Roman" w:hAnsi="Times New Roman"/>
          <w:sz w:val="28"/>
          <w:szCs w:val="28"/>
          <w:lang w:val="uk-UA"/>
        </w:rPr>
        <w:t>А дорівнював 2.03±0.59 г/л та 1.72±0.31 г/л відповідно.</w:t>
      </w:r>
    </w:p>
    <w:p w:rsidR="00ED66C2" w:rsidRPr="00DD39D0" w:rsidRDefault="00ED66C2"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На початку було зафіксовано зниження рівню імуноглобуліну</w:t>
      </w:r>
      <w:r w:rsidRPr="00DD39D0">
        <w:rPr>
          <w:rFonts w:ascii="Times New Roman" w:hAnsi="Times New Roman"/>
          <w:sz w:val="28"/>
          <w:szCs w:val="28"/>
          <w:lang w:val="ru-RU"/>
        </w:rPr>
        <w:t xml:space="preserve"> </w:t>
      </w:r>
      <w:r w:rsidRPr="00DD39D0">
        <w:rPr>
          <w:rFonts w:ascii="Times New Roman" w:hAnsi="Times New Roman"/>
          <w:sz w:val="28"/>
          <w:szCs w:val="28"/>
        </w:rPr>
        <w:t>G</w:t>
      </w:r>
      <w:r w:rsidRPr="00DD39D0">
        <w:rPr>
          <w:rFonts w:ascii="Times New Roman" w:hAnsi="Times New Roman"/>
          <w:sz w:val="28"/>
          <w:szCs w:val="28"/>
          <w:lang w:val="uk-UA"/>
        </w:rPr>
        <w:t xml:space="preserve"> у всіх групах, крім контрольної. Аналіз даних підтверджує, що динаміка змін рівню імуноглобуліну </w:t>
      </w:r>
      <w:r w:rsidRPr="00DD39D0">
        <w:rPr>
          <w:rFonts w:ascii="Times New Roman" w:hAnsi="Times New Roman"/>
          <w:sz w:val="28"/>
          <w:szCs w:val="28"/>
        </w:rPr>
        <w:t>G</w:t>
      </w:r>
      <w:r w:rsidRPr="00DD39D0">
        <w:rPr>
          <w:rFonts w:ascii="Times New Roman" w:hAnsi="Times New Roman"/>
          <w:sz w:val="28"/>
          <w:szCs w:val="28"/>
          <w:lang w:val="uk-UA"/>
        </w:rPr>
        <w:t xml:space="preserve"> у різних групах відрізнялася із статистично значимою (р˂0,05) різницею. Так, у першій групі через шість місяців ми спостерігали разом з клінічним покращенням збільшення рівню імноглобуліну до 4.71 ± 0.81 г/л, через дванадцять місяців 5.04 ± 0.69 г/л. У той же час у третій групі, де були обстежені діти з гінгівітом на тлі атопічних захворювань, але лікування не враховувало патогенетичних особливостей гінгівіту, показники імуноглобуліну </w:t>
      </w:r>
      <w:r w:rsidRPr="00DD39D0">
        <w:rPr>
          <w:rFonts w:ascii="Times New Roman" w:hAnsi="Times New Roman"/>
          <w:sz w:val="28"/>
          <w:szCs w:val="28"/>
        </w:rPr>
        <w:t>G</w:t>
      </w:r>
      <w:r w:rsidRPr="00DD39D0">
        <w:rPr>
          <w:rFonts w:ascii="Times New Roman" w:hAnsi="Times New Roman"/>
          <w:sz w:val="28"/>
          <w:szCs w:val="28"/>
          <w:lang w:val="uk-UA"/>
        </w:rPr>
        <w:t xml:space="preserve"> достовірно не відрізнялися від початкових та дорівнювали 2.04 ± 0.58 г/л та 1.99 ± 0.47 г/л через шість та дванадцять місяців відповідно. </w:t>
      </w:r>
      <w:r w:rsidR="00E336FE" w:rsidRPr="00DD39D0">
        <w:rPr>
          <w:rFonts w:ascii="Times New Roman" w:hAnsi="Times New Roman"/>
          <w:sz w:val="28"/>
          <w:szCs w:val="28"/>
          <w:lang w:val="uk-UA"/>
        </w:rPr>
        <w:t xml:space="preserve">Концептуально нова програма профілактики захворювань пародонту у дітей з атопічними захворюваннями мала значну ефективність, яка проявлялася не тільки в усуненні симптомів гінгівіту, але й у збільшенні рівню імуноглобуліну </w:t>
      </w:r>
      <w:r w:rsidR="00E336FE" w:rsidRPr="00DD39D0">
        <w:rPr>
          <w:rFonts w:ascii="Times New Roman" w:hAnsi="Times New Roman"/>
          <w:sz w:val="28"/>
          <w:szCs w:val="28"/>
        </w:rPr>
        <w:t>G</w:t>
      </w:r>
      <w:r w:rsidR="00E336FE" w:rsidRPr="00DD39D0">
        <w:rPr>
          <w:rFonts w:ascii="Times New Roman" w:hAnsi="Times New Roman"/>
          <w:sz w:val="28"/>
          <w:szCs w:val="28"/>
          <w:lang w:val="uk-UA"/>
        </w:rPr>
        <w:t xml:space="preserve"> до рівня 4.89 ± 0.85 г/л через шість місяців та 5.10 ± 0.68 г/л через дванадцять місяців у другій групі пацієнтів. У четвертій групі пацієнтів покращення згідно з рівнем імуноглобуліну </w:t>
      </w:r>
      <w:r w:rsidR="00E336FE" w:rsidRPr="00DD39D0">
        <w:rPr>
          <w:rFonts w:ascii="Times New Roman" w:hAnsi="Times New Roman"/>
          <w:sz w:val="28"/>
          <w:szCs w:val="28"/>
        </w:rPr>
        <w:t>G</w:t>
      </w:r>
      <w:r w:rsidR="00E336FE" w:rsidRPr="00DD39D0">
        <w:rPr>
          <w:rFonts w:ascii="Times New Roman" w:hAnsi="Times New Roman"/>
          <w:sz w:val="28"/>
          <w:szCs w:val="28"/>
          <w:lang w:val="uk-UA"/>
        </w:rPr>
        <w:t xml:space="preserve"> не спостерігалося, його рівень дорівнював 1.93 ± 0.42 г/л через шість місяців та 1.85 ± 0.44 г/л через дванадцять місяців.</w:t>
      </w:r>
    </w:p>
    <w:p w:rsidR="00524FA2" w:rsidRPr="00DD39D0" w:rsidRDefault="00E336FE"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Стан неспецифічного імунітету також визначали за ступенем активності лізоциму. У першій групі рівень лізоциму дорівнював 192.77 ± 23.12 у.о./л., у </w:t>
      </w:r>
      <w:r w:rsidRPr="00DD39D0">
        <w:rPr>
          <w:rFonts w:ascii="Times New Roman" w:hAnsi="Times New Roman"/>
          <w:sz w:val="28"/>
          <w:szCs w:val="28"/>
          <w:lang w:val="uk-UA"/>
        </w:rPr>
        <w:lastRenderedPageBreak/>
        <w:t xml:space="preserve">другій групі 193.80 ± 20.30 у.о./л., у третій групі 184.48 ± 26.52 у.о./л., у четвертій групі 189.06 ± 25.30 у.о./л. Згідно з наведеними даними очевидним є зниження ступеню неспецифічного захисту порожнини рота у дітей з атопічними захворюваннями. Через шість місяців після проведення лікування, у першій та другій групах рівень лізоциму зріс до рівня 331.55 ± 22.22 у.о./л та 335.46 ± 28.14 у.о./л. У той же час у третій та четвертій групах пацієнтів з атопічними захворюваннями через шість місяців достовірних змін ми не констатували, оскільки рівень лізоциму дорівнював 203.97 ± 19.37 у.о./л та 202.89 ± 18.09 у.о./л відповідно. </w:t>
      </w:r>
    </w:p>
    <w:p w:rsidR="00E336FE" w:rsidRPr="00DD39D0" w:rsidRDefault="00E336FE"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Отже, у результаті дослідження встановлено, що серед дітей з атопічними захворюваннями незалежно від наявності клінічних проявів гінгівіту спостерігається послаблення імунного захисту, що проявляється зниженими рівнями імуноглобулінів класу А, </w:t>
      </w:r>
      <w:r w:rsidRPr="00DD39D0">
        <w:rPr>
          <w:rFonts w:ascii="Times New Roman" w:hAnsi="Times New Roman"/>
          <w:sz w:val="28"/>
          <w:szCs w:val="28"/>
        </w:rPr>
        <w:t>G</w:t>
      </w:r>
      <w:r w:rsidRPr="00DD39D0">
        <w:rPr>
          <w:rFonts w:ascii="Times New Roman" w:hAnsi="Times New Roman"/>
          <w:sz w:val="28"/>
          <w:szCs w:val="28"/>
          <w:lang w:val="uk-UA"/>
        </w:rPr>
        <w:t>, М, лізоциму. На тлі імунної недостатності нами виявлений антиоксидантний дисбаланс за такими показниками, як рівень малонового диальдегіду, супероксиддисмутази, каталази, відновленого глутатіону, уреази.</w:t>
      </w:r>
    </w:p>
    <w:p w:rsidR="00E336FE" w:rsidRPr="00DD39D0" w:rsidRDefault="00E336FE"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Для виявлення предикторів запальних захворювань пародонту та їх ранньої діагностики було проведене цитоморфологічне дослідження клітин букального епітелію. Найбільш значущою при порівнянні контрольної та дослідної групи є різниця у ступеню конденсації хроматину (83,25±0,95 у дослідній групі, 21,67±0,25 у контрольній групі) та кількість гетерохромних ядер, а також наявність апоптозних клітин. В той же час у соматично здорових дітей переважали клітини з незміненою структурою хроматину та незначною кількістю гетерохромних ядер, що характерно для нормального функціонування клітин.</w:t>
      </w:r>
    </w:p>
    <w:p w:rsidR="00E336FE" w:rsidRPr="00DD39D0" w:rsidRDefault="00E336FE"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За результатами досліджень генетичних предикторів спостерігали, що переважна більшість (75 %) осіб, які склали контрольну групу є носіями короткого варіанту (2 повтори) інтрона 36 гена MUC5B. При цьому серед них є як гомозиготи за даним алелем, так і гетерозиготи. Навпаки, даний алель практично не зустрічається (94 %) в осіб з дослідної групи (з гінгівітом та атопічними захворюваннями). Це підтверджує перевірка за критерієм Краскелла-Уолл</w:t>
      </w:r>
      <w:r w:rsidR="002F3A53">
        <w:rPr>
          <w:rFonts w:ascii="Times New Roman" w:hAnsi="Times New Roman"/>
          <w:sz w:val="28"/>
          <w:szCs w:val="28"/>
          <w:lang w:val="uk-UA"/>
        </w:rPr>
        <w:t>іса (H =26,48; p &lt;0,001). Д</w:t>
      </w:r>
      <w:r w:rsidRPr="00DD39D0">
        <w:rPr>
          <w:rFonts w:ascii="Times New Roman" w:hAnsi="Times New Roman"/>
          <w:sz w:val="28"/>
          <w:szCs w:val="28"/>
          <w:lang w:val="uk-UA"/>
        </w:rPr>
        <w:t>аний алель може бути запропонова</w:t>
      </w:r>
      <w:r w:rsidR="002F3A53">
        <w:rPr>
          <w:rFonts w:ascii="Times New Roman" w:hAnsi="Times New Roman"/>
          <w:sz w:val="28"/>
          <w:szCs w:val="28"/>
          <w:lang w:val="uk-UA"/>
        </w:rPr>
        <w:t xml:space="preserve">ний як протективний відносно </w:t>
      </w:r>
      <w:r w:rsidRPr="00DD39D0">
        <w:rPr>
          <w:rFonts w:ascii="Times New Roman" w:hAnsi="Times New Roman"/>
          <w:sz w:val="28"/>
          <w:szCs w:val="28"/>
          <w:lang w:val="uk-UA"/>
        </w:rPr>
        <w:t xml:space="preserve">гінгівіту та атопічних захворювань. Слід, однак, зауважити, що фактор носійства алелю з двома повторами не має асоціації з рівнем досліджуваних імуноглобулінів як сам по собі, так і у взаємодії з іншими контрольованими в дослідженні факторами (наявність діагнозу, гомо/гетерозиготність). У ході дослідження прогенотиповано пацієнтів за поліморфізмом rs1801270. Розраховані частоти генотипів та алелів за даним поліморфізмом загалом та в контрольній та основній (з діагонозом гінгівіт на тлі атопічних захворювань) групах окремо. Частота алелю С склала в середньому 0,76, частота алелю А – 0,24. Встановлено, що у основній групі частоти генотипів відхиляються від очікуваних за законом Харді-Вайнберга. </w:t>
      </w:r>
      <w:r w:rsidRPr="00DD39D0">
        <w:rPr>
          <w:rFonts w:ascii="Times New Roman" w:hAnsi="Times New Roman"/>
          <w:sz w:val="28"/>
          <w:szCs w:val="28"/>
          <w:lang w:val="uk-UA"/>
        </w:rPr>
        <w:lastRenderedPageBreak/>
        <w:t>Спостерігається тенденція до різного формування імунної відповіді (за трьома різними ім</w:t>
      </w:r>
      <w:r w:rsidR="00334803">
        <w:rPr>
          <w:rFonts w:ascii="Times New Roman" w:hAnsi="Times New Roman"/>
          <w:sz w:val="28"/>
          <w:szCs w:val="28"/>
          <w:lang w:val="uk-UA"/>
        </w:rPr>
        <w:t>уноглобулі</w:t>
      </w:r>
      <w:r w:rsidRPr="00DD39D0">
        <w:rPr>
          <w:rFonts w:ascii="Times New Roman" w:hAnsi="Times New Roman"/>
          <w:sz w:val="28"/>
          <w:szCs w:val="28"/>
          <w:lang w:val="uk-UA"/>
        </w:rPr>
        <w:t>нами) у пацієнтів основної групи з різними генотипами за rs1801270 поліморфізмом, зокрема гомозиготи АА з атопічними захворюваннями тяжіють до більш агресивного протікання гінгівіту. Вважаємо даний поліморфізм перспективним для подальшого аналізу асоціації з характером розвитку запальних процесів ясен в пацієнтів з астмою, алергічним ринітом чи атопічним дерматитом.</w:t>
      </w:r>
    </w:p>
    <w:p w:rsidR="00E336FE" w:rsidRPr="00DD39D0" w:rsidRDefault="00E336FE"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Для встановлення залежності між показниками стоматологічного та імунометаболічного статусу та побудови прогностичної моделі був використаний регресійний аналіз отриманих даних, який дозволив виявити інформативність кожного показника імунного та антиоксидантного статусу, визначити коефіцієнти детермінації, побудувати рівняння лінійної регресії та оцінити </w:t>
      </w:r>
      <w:r w:rsidR="00F40353">
        <w:rPr>
          <w:rFonts w:ascii="Times New Roman" w:hAnsi="Times New Roman"/>
          <w:sz w:val="28"/>
          <w:szCs w:val="28"/>
          <w:lang w:val="uk-UA"/>
        </w:rPr>
        <w:t>прогностичні</w:t>
      </w:r>
      <w:r w:rsidRPr="00DD39D0">
        <w:rPr>
          <w:rFonts w:ascii="Times New Roman" w:hAnsi="Times New Roman"/>
          <w:sz w:val="28"/>
          <w:szCs w:val="28"/>
          <w:lang w:val="uk-UA"/>
        </w:rPr>
        <w:t xml:space="preserve"> значення. </w:t>
      </w:r>
    </w:p>
    <w:p w:rsidR="004D4BC2" w:rsidRPr="00DD39D0" w:rsidRDefault="004D4BC2" w:rsidP="004D4BC2">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Результати дослідження взаємозв’язку між рівнем імуноглобуліну А та папілярно-маргінально-альвеолярним індексом та регресійний аналіз даних наведений у таблицях 4, 5.</w:t>
      </w:r>
    </w:p>
    <w:p w:rsidR="00F648E4" w:rsidRDefault="00F648E4" w:rsidP="007F028B">
      <w:pPr>
        <w:spacing w:after="120" w:line="240" w:lineRule="auto"/>
        <w:ind w:firstLine="709"/>
        <w:jc w:val="right"/>
        <w:rPr>
          <w:rFonts w:ascii="Times New Roman" w:hAnsi="Times New Roman"/>
          <w:i/>
          <w:sz w:val="28"/>
          <w:szCs w:val="28"/>
          <w:lang w:val="uk-UA"/>
        </w:rPr>
      </w:pPr>
    </w:p>
    <w:p w:rsidR="004D4BC2" w:rsidRPr="00DD39D0" w:rsidRDefault="004D4BC2" w:rsidP="007F028B">
      <w:pPr>
        <w:spacing w:after="120" w:line="240" w:lineRule="auto"/>
        <w:ind w:firstLine="709"/>
        <w:jc w:val="right"/>
        <w:rPr>
          <w:rFonts w:ascii="Times New Roman" w:hAnsi="Times New Roman"/>
          <w:i/>
          <w:sz w:val="28"/>
          <w:szCs w:val="28"/>
          <w:lang w:val="uk-UA"/>
        </w:rPr>
      </w:pPr>
      <w:r w:rsidRPr="00DD39D0">
        <w:rPr>
          <w:rFonts w:ascii="Times New Roman" w:hAnsi="Times New Roman"/>
          <w:i/>
          <w:sz w:val="28"/>
          <w:szCs w:val="28"/>
          <w:lang w:val="uk-UA"/>
        </w:rPr>
        <w:t>Таблиця 4</w:t>
      </w:r>
    </w:p>
    <w:p w:rsidR="004D4BC2" w:rsidRPr="0047086B" w:rsidRDefault="004D4BC2" w:rsidP="007F028B">
      <w:pPr>
        <w:spacing w:after="120" w:line="240" w:lineRule="auto"/>
        <w:ind w:firstLine="709"/>
        <w:jc w:val="center"/>
        <w:rPr>
          <w:rFonts w:ascii="Times New Roman" w:hAnsi="Times New Roman"/>
          <w:b/>
          <w:sz w:val="28"/>
          <w:szCs w:val="28"/>
          <w:lang w:val="uk-UA"/>
        </w:rPr>
      </w:pPr>
      <w:r w:rsidRPr="0047086B">
        <w:rPr>
          <w:rFonts w:ascii="Times New Roman" w:hAnsi="Times New Roman"/>
          <w:b/>
          <w:sz w:val="28"/>
          <w:szCs w:val="28"/>
          <w:lang w:val="uk-UA"/>
        </w:rPr>
        <w:t>Регресійна статистика рівнів імуноглобуліну А та індексу РМА</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2"/>
        <w:gridCol w:w="4056"/>
      </w:tblGrid>
      <w:tr w:rsidR="004D4BC2" w:rsidRPr="008C1635" w:rsidTr="00CE785D">
        <w:trPr>
          <w:trHeight w:val="157"/>
        </w:trPr>
        <w:tc>
          <w:tcPr>
            <w:tcW w:w="9688" w:type="dxa"/>
            <w:gridSpan w:val="2"/>
            <w:shd w:val="clear" w:color="auto" w:fill="auto"/>
            <w:noWrap/>
            <w:hideMark/>
          </w:tcPr>
          <w:p w:rsidR="004D4BC2" w:rsidRPr="008C1635" w:rsidRDefault="004D4BC2" w:rsidP="004D4BC2">
            <w:pPr>
              <w:spacing w:after="0" w:line="240" w:lineRule="auto"/>
              <w:ind w:firstLine="709"/>
              <w:rPr>
                <w:rFonts w:ascii="Times New Roman" w:hAnsi="Times New Roman"/>
                <w:i/>
                <w:iCs/>
                <w:sz w:val="28"/>
                <w:szCs w:val="28"/>
              </w:rPr>
            </w:pPr>
            <w:r w:rsidRPr="008C1635">
              <w:rPr>
                <w:rFonts w:ascii="Times New Roman" w:hAnsi="Times New Roman"/>
                <w:i/>
                <w:iCs/>
                <w:sz w:val="28"/>
                <w:szCs w:val="28"/>
                <w:lang w:val="uk-UA"/>
              </w:rPr>
              <w:t>Регресійна статистика</w:t>
            </w:r>
          </w:p>
        </w:tc>
      </w:tr>
      <w:tr w:rsidR="004D4BC2" w:rsidRPr="008C1635" w:rsidTr="00CE785D">
        <w:trPr>
          <w:trHeight w:val="157"/>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Множинний R</w:t>
            </w:r>
          </w:p>
        </w:tc>
        <w:tc>
          <w:tcPr>
            <w:tcW w:w="4056"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0.871753382</w:t>
            </w:r>
          </w:p>
        </w:tc>
      </w:tr>
      <w:tr w:rsidR="004D4BC2" w:rsidRPr="008C1635" w:rsidTr="00CE785D">
        <w:trPr>
          <w:trHeight w:val="157"/>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R-квадрат</w:t>
            </w:r>
          </w:p>
        </w:tc>
        <w:tc>
          <w:tcPr>
            <w:tcW w:w="4056"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0.75995396</w:t>
            </w:r>
          </w:p>
        </w:tc>
      </w:tr>
      <w:tr w:rsidR="004D4BC2" w:rsidRPr="008C1635" w:rsidTr="00CE785D">
        <w:trPr>
          <w:trHeight w:val="157"/>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Нормований R-квадрат</w:t>
            </w:r>
          </w:p>
        </w:tc>
        <w:tc>
          <w:tcPr>
            <w:tcW w:w="4056"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0.754953001</w:t>
            </w:r>
          </w:p>
        </w:tc>
      </w:tr>
      <w:tr w:rsidR="004D4BC2" w:rsidRPr="008C1635" w:rsidTr="00CE785D">
        <w:trPr>
          <w:trHeight w:val="157"/>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Стандартна помилка</w:t>
            </w:r>
          </w:p>
        </w:tc>
        <w:tc>
          <w:tcPr>
            <w:tcW w:w="4056"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0.755122086</w:t>
            </w:r>
          </w:p>
        </w:tc>
      </w:tr>
      <w:tr w:rsidR="004D4BC2" w:rsidRPr="008C1635" w:rsidTr="00CE785D">
        <w:trPr>
          <w:trHeight w:val="166"/>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lang w:val="ru-RU"/>
              </w:rPr>
            </w:pPr>
            <w:r w:rsidRPr="008C1635">
              <w:rPr>
                <w:rFonts w:ascii="Times New Roman" w:hAnsi="Times New Roman"/>
                <w:sz w:val="28"/>
                <w:szCs w:val="28"/>
                <w:lang w:val="ru-RU"/>
              </w:rPr>
              <w:t>Спостереження</w:t>
            </w:r>
          </w:p>
        </w:tc>
        <w:tc>
          <w:tcPr>
            <w:tcW w:w="4056"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lang w:val="uk-UA"/>
              </w:rPr>
            </w:pPr>
            <w:r w:rsidRPr="008C1635">
              <w:rPr>
                <w:rFonts w:ascii="Times New Roman" w:hAnsi="Times New Roman"/>
                <w:sz w:val="28"/>
                <w:szCs w:val="28"/>
              </w:rPr>
              <w:t>50</w:t>
            </w:r>
          </w:p>
        </w:tc>
      </w:tr>
    </w:tbl>
    <w:p w:rsidR="004D4BC2" w:rsidRPr="00DD39D0" w:rsidRDefault="004D4BC2" w:rsidP="004D4BC2">
      <w:pPr>
        <w:spacing w:after="0" w:line="240" w:lineRule="auto"/>
        <w:ind w:firstLine="709"/>
        <w:rPr>
          <w:rFonts w:ascii="Times New Roman" w:hAnsi="Times New Roman"/>
          <w:sz w:val="28"/>
          <w:szCs w:val="28"/>
          <w:lang w:val="uk-UA"/>
        </w:rPr>
      </w:pPr>
    </w:p>
    <w:p w:rsidR="004D4BC2" w:rsidRPr="00DD39D0" w:rsidRDefault="004D4BC2" w:rsidP="004D4BC2">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Для оцінки загальної якості отриманого рівняння лінійної регресії застосували коефіцієнт детермінації, який позначений як </w:t>
      </w:r>
      <w:r w:rsidRPr="00DD39D0">
        <w:rPr>
          <w:rFonts w:ascii="Times New Roman" w:hAnsi="Times New Roman"/>
          <w:sz w:val="28"/>
          <w:szCs w:val="28"/>
        </w:rPr>
        <w:t>R</w:t>
      </w:r>
      <w:r w:rsidRPr="00DD39D0">
        <w:rPr>
          <w:rFonts w:ascii="Times New Roman" w:hAnsi="Times New Roman"/>
          <w:sz w:val="28"/>
          <w:szCs w:val="28"/>
          <w:lang w:val="uk-UA"/>
        </w:rPr>
        <w:t>-квадрат</w:t>
      </w:r>
      <w:r w:rsidR="00CE785D" w:rsidRPr="00DD39D0">
        <w:rPr>
          <w:rFonts w:ascii="Times New Roman" w:hAnsi="Times New Roman"/>
          <w:sz w:val="28"/>
          <w:szCs w:val="28"/>
          <w:lang w:val="uk-UA"/>
        </w:rPr>
        <w:t>, який</w:t>
      </w:r>
      <w:r w:rsidRPr="00DD39D0">
        <w:rPr>
          <w:rFonts w:ascii="Times New Roman" w:hAnsi="Times New Roman"/>
          <w:sz w:val="28"/>
          <w:szCs w:val="28"/>
          <w:lang w:val="uk-UA"/>
        </w:rPr>
        <w:t xml:space="preserve"> є показником якості рівняння регресії й точності прогнозу за його допомогою.</w:t>
      </w:r>
    </w:p>
    <w:p w:rsidR="004D4BC2" w:rsidRPr="00DD39D0" w:rsidRDefault="004D4BC2" w:rsidP="007F028B">
      <w:pPr>
        <w:spacing w:after="120" w:line="240" w:lineRule="auto"/>
        <w:ind w:firstLine="709"/>
        <w:jc w:val="right"/>
        <w:rPr>
          <w:rFonts w:ascii="Times New Roman" w:hAnsi="Times New Roman"/>
          <w:i/>
          <w:sz w:val="28"/>
          <w:szCs w:val="28"/>
          <w:lang w:val="uk-UA"/>
        </w:rPr>
      </w:pPr>
      <w:r w:rsidRPr="00DD39D0">
        <w:rPr>
          <w:rFonts w:ascii="Times New Roman" w:hAnsi="Times New Roman"/>
          <w:i/>
          <w:sz w:val="28"/>
          <w:szCs w:val="28"/>
          <w:lang w:val="uk-UA"/>
        </w:rPr>
        <w:t>Таблиця 5</w:t>
      </w:r>
    </w:p>
    <w:p w:rsidR="004D4BC2" w:rsidRPr="0047086B" w:rsidRDefault="004D4BC2" w:rsidP="007F028B">
      <w:pPr>
        <w:spacing w:after="120" w:line="240" w:lineRule="auto"/>
        <w:ind w:firstLine="709"/>
        <w:jc w:val="center"/>
        <w:rPr>
          <w:rFonts w:ascii="Times New Roman" w:hAnsi="Times New Roman"/>
          <w:b/>
          <w:sz w:val="28"/>
          <w:szCs w:val="28"/>
          <w:lang w:val="uk-UA"/>
        </w:rPr>
      </w:pPr>
      <w:r w:rsidRPr="0047086B">
        <w:rPr>
          <w:rFonts w:ascii="Times New Roman" w:hAnsi="Times New Roman"/>
          <w:b/>
          <w:sz w:val="28"/>
          <w:szCs w:val="28"/>
          <w:lang w:val="uk-UA"/>
        </w:rPr>
        <w:t>Визначення коефіцієнтів регресійної статистики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2184"/>
        <w:gridCol w:w="2070"/>
        <w:gridCol w:w="1893"/>
        <w:gridCol w:w="1559"/>
      </w:tblGrid>
      <w:tr w:rsidR="00CE785D" w:rsidRPr="008C1635" w:rsidTr="00CE785D">
        <w:trPr>
          <w:trHeight w:val="255"/>
        </w:trPr>
        <w:tc>
          <w:tcPr>
            <w:tcW w:w="1639" w:type="dxa"/>
            <w:shd w:val="clear" w:color="auto" w:fill="auto"/>
            <w:noWrap/>
            <w:hideMark/>
          </w:tcPr>
          <w:p w:rsidR="004D4BC2" w:rsidRPr="008C1635" w:rsidRDefault="004D4BC2" w:rsidP="004D4BC2">
            <w:pPr>
              <w:spacing w:after="0" w:line="240" w:lineRule="auto"/>
              <w:ind w:firstLine="709"/>
              <w:rPr>
                <w:rFonts w:ascii="Times New Roman" w:hAnsi="Times New Roman"/>
                <w:i/>
                <w:iCs/>
                <w:sz w:val="28"/>
                <w:szCs w:val="28"/>
                <w:lang w:val="uk-UA"/>
              </w:rPr>
            </w:pPr>
            <w:r w:rsidRPr="008C1635">
              <w:rPr>
                <w:rFonts w:ascii="Times New Roman" w:hAnsi="Times New Roman"/>
                <w:i/>
                <w:iCs/>
                <w:sz w:val="28"/>
                <w:szCs w:val="28"/>
              </w:rPr>
              <w:t> </w:t>
            </w:r>
          </w:p>
        </w:tc>
        <w:tc>
          <w:tcPr>
            <w:tcW w:w="2184" w:type="dxa"/>
            <w:shd w:val="clear" w:color="auto" w:fill="auto"/>
            <w:noWrap/>
            <w:hideMark/>
          </w:tcPr>
          <w:p w:rsidR="004D4BC2" w:rsidRPr="008C1635" w:rsidRDefault="004D4BC2" w:rsidP="004D4BC2">
            <w:pPr>
              <w:spacing w:after="0" w:line="240" w:lineRule="auto"/>
              <w:rPr>
                <w:rFonts w:ascii="Times New Roman" w:hAnsi="Times New Roman"/>
                <w:i/>
                <w:iCs/>
                <w:sz w:val="28"/>
                <w:szCs w:val="28"/>
                <w:lang w:val="uk-UA"/>
              </w:rPr>
            </w:pPr>
            <w:r w:rsidRPr="008C1635">
              <w:rPr>
                <w:rFonts w:ascii="Times New Roman" w:hAnsi="Times New Roman"/>
                <w:i/>
                <w:iCs/>
                <w:sz w:val="28"/>
                <w:szCs w:val="28"/>
                <w:lang w:val="uk-UA"/>
              </w:rPr>
              <w:t>Коефіцієнти</w:t>
            </w:r>
          </w:p>
        </w:tc>
        <w:tc>
          <w:tcPr>
            <w:tcW w:w="2070" w:type="dxa"/>
            <w:shd w:val="clear" w:color="auto" w:fill="auto"/>
            <w:noWrap/>
            <w:hideMark/>
          </w:tcPr>
          <w:p w:rsidR="004D4BC2" w:rsidRPr="008C1635" w:rsidRDefault="004D4BC2" w:rsidP="004D4BC2">
            <w:pPr>
              <w:spacing w:after="0" w:line="240" w:lineRule="auto"/>
              <w:rPr>
                <w:rFonts w:ascii="Times New Roman" w:hAnsi="Times New Roman"/>
                <w:i/>
                <w:iCs/>
                <w:sz w:val="28"/>
                <w:szCs w:val="28"/>
                <w:lang w:val="uk-UA"/>
              </w:rPr>
            </w:pPr>
            <w:r w:rsidRPr="008C1635">
              <w:rPr>
                <w:rFonts w:ascii="Times New Roman" w:hAnsi="Times New Roman"/>
                <w:i/>
                <w:iCs/>
                <w:sz w:val="28"/>
                <w:szCs w:val="28"/>
                <w:lang w:val="uk-UA"/>
              </w:rPr>
              <w:t>Стандартна помилка</w:t>
            </w:r>
          </w:p>
        </w:tc>
        <w:tc>
          <w:tcPr>
            <w:tcW w:w="1893" w:type="dxa"/>
            <w:shd w:val="clear" w:color="auto" w:fill="auto"/>
            <w:noWrap/>
            <w:hideMark/>
          </w:tcPr>
          <w:p w:rsidR="004D4BC2" w:rsidRPr="008C1635" w:rsidRDefault="004D4BC2" w:rsidP="004D4BC2">
            <w:pPr>
              <w:spacing w:after="0" w:line="240" w:lineRule="auto"/>
              <w:ind w:firstLine="709"/>
              <w:rPr>
                <w:rFonts w:ascii="Times New Roman" w:hAnsi="Times New Roman"/>
                <w:i/>
                <w:iCs/>
                <w:sz w:val="28"/>
                <w:szCs w:val="28"/>
                <w:lang w:val="uk-UA"/>
              </w:rPr>
            </w:pPr>
            <w:r w:rsidRPr="008C1635">
              <w:rPr>
                <w:rFonts w:ascii="Times New Roman" w:hAnsi="Times New Roman"/>
                <w:i/>
                <w:iCs/>
                <w:sz w:val="28"/>
                <w:szCs w:val="28"/>
              </w:rPr>
              <w:t>t</w:t>
            </w:r>
            <w:r w:rsidRPr="008C1635">
              <w:rPr>
                <w:rFonts w:ascii="Times New Roman" w:hAnsi="Times New Roman"/>
                <w:i/>
                <w:iCs/>
                <w:sz w:val="28"/>
                <w:szCs w:val="28"/>
                <w:lang w:val="uk-UA"/>
              </w:rPr>
              <w:t>-статистика</w:t>
            </w:r>
          </w:p>
        </w:tc>
        <w:tc>
          <w:tcPr>
            <w:tcW w:w="1559" w:type="dxa"/>
            <w:shd w:val="clear" w:color="auto" w:fill="auto"/>
            <w:noWrap/>
            <w:hideMark/>
          </w:tcPr>
          <w:p w:rsidR="004D4BC2" w:rsidRPr="008C1635" w:rsidRDefault="004D4BC2" w:rsidP="004D4BC2">
            <w:pPr>
              <w:spacing w:after="0" w:line="240" w:lineRule="auto"/>
              <w:ind w:firstLine="709"/>
              <w:rPr>
                <w:rFonts w:ascii="Times New Roman" w:hAnsi="Times New Roman"/>
                <w:i/>
                <w:iCs/>
                <w:sz w:val="28"/>
                <w:szCs w:val="28"/>
                <w:lang w:val="uk-UA"/>
              </w:rPr>
            </w:pPr>
            <w:r w:rsidRPr="008C1635">
              <w:rPr>
                <w:rFonts w:ascii="Times New Roman" w:hAnsi="Times New Roman"/>
                <w:i/>
                <w:iCs/>
                <w:sz w:val="28"/>
                <w:szCs w:val="28"/>
              </w:rPr>
              <w:t>P</w:t>
            </w:r>
            <w:r w:rsidRPr="008C1635">
              <w:rPr>
                <w:rFonts w:ascii="Times New Roman" w:hAnsi="Times New Roman"/>
                <w:i/>
                <w:iCs/>
                <w:sz w:val="28"/>
                <w:szCs w:val="28"/>
                <w:lang w:val="uk-UA"/>
              </w:rPr>
              <w:t>-значення</w:t>
            </w:r>
          </w:p>
        </w:tc>
      </w:tr>
      <w:tr w:rsidR="004D4BC2" w:rsidRPr="008C1635" w:rsidTr="00CE785D">
        <w:trPr>
          <w:trHeight w:val="255"/>
        </w:trPr>
        <w:tc>
          <w:tcPr>
            <w:tcW w:w="1639"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Y</w:t>
            </w:r>
            <w:r w:rsidRPr="008C1635">
              <w:rPr>
                <w:rFonts w:ascii="Times New Roman" w:hAnsi="Times New Roman"/>
                <w:sz w:val="28"/>
                <w:szCs w:val="28"/>
                <w:lang w:val="uk-UA"/>
              </w:rPr>
              <w:t>-пересіченн</w:t>
            </w:r>
            <w:r w:rsidRPr="008C1635">
              <w:rPr>
                <w:rFonts w:ascii="Times New Roman" w:hAnsi="Times New Roman"/>
                <w:sz w:val="28"/>
                <w:szCs w:val="28"/>
              </w:rPr>
              <w:t>я</w:t>
            </w:r>
          </w:p>
        </w:tc>
        <w:tc>
          <w:tcPr>
            <w:tcW w:w="2184"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10.85519802</w:t>
            </w:r>
          </w:p>
        </w:tc>
        <w:tc>
          <w:tcPr>
            <w:tcW w:w="2070"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0.341234917</w:t>
            </w:r>
          </w:p>
        </w:tc>
        <w:tc>
          <w:tcPr>
            <w:tcW w:w="1893"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31.81151011</w:t>
            </w:r>
          </w:p>
        </w:tc>
        <w:tc>
          <w:tcPr>
            <w:tcW w:w="1559"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6.47787E-34</w:t>
            </w:r>
          </w:p>
        </w:tc>
      </w:tr>
      <w:tr w:rsidR="004D4BC2" w:rsidRPr="008C1635" w:rsidTr="00CE785D">
        <w:trPr>
          <w:trHeight w:val="270"/>
        </w:trPr>
        <w:tc>
          <w:tcPr>
            <w:tcW w:w="1639"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lang w:val="uk-UA"/>
              </w:rPr>
              <w:t>Змінна</w:t>
            </w:r>
            <w:r w:rsidRPr="008C1635">
              <w:rPr>
                <w:rFonts w:ascii="Times New Roman" w:hAnsi="Times New Roman"/>
                <w:sz w:val="28"/>
                <w:szCs w:val="28"/>
              </w:rPr>
              <w:t xml:space="preserve"> X 1</w:t>
            </w:r>
          </w:p>
        </w:tc>
        <w:tc>
          <w:tcPr>
            <w:tcW w:w="2184"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-1.637376238</w:t>
            </w:r>
          </w:p>
        </w:tc>
        <w:tc>
          <w:tcPr>
            <w:tcW w:w="2070"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0.132825511</w:t>
            </w:r>
          </w:p>
        </w:tc>
        <w:tc>
          <w:tcPr>
            <w:tcW w:w="1893"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-12.32727223</w:t>
            </w:r>
          </w:p>
        </w:tc>
        <w:tc>
          <w:tcPr>
            <w:tcW w:w="1559"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1.74997E-16</w:t>
            </w:r>
          </w:p>
        </w:tc>
      </w:tr>
    </w:tbl>
    <w:p w:rsidR="004D4BC2" w:rsidRPr="00DD39D0" w:rsidRDefault="004D4BC2" w:rsidP="004D4BC2">
      <w:pPr>
        <w:spacing w:after="0" w:line="240" w:lineRule="auto"/>
        <w:jc w:val="both"/>
        <w:rPr>
          <w:rFonts w:ascii="Times New Roman" w:hAnsi="Times New Roman"/>
          <w:sz w:val="28"/>
          <w:szCs w:val="28"/>
          <w:lang w:val="ru-RU"/>
        </w:rPr>
      </w:pPr>
    </w:p>
    <w:p w:rsidR="004D4BC2" w:rsidRPr="00706628" w:rsidRDefault="00070397" w:rsidP="004D4BC2">
      <w:pPr>
        <w:spacing w:after="0" w:line="240" w:lineRule="auto"/>
        <w:ind w:firstLine="709"/>
        <w:jc w:val="both"/>
        <w:rPr>
          <w:rFonts w:ascii="Times New Roman" w:hAnsi="Times New Roman"/>
          <w:sz w:val="28"/>
          <w:szCs w:val="28"/>
          <w:lang w:val="uk-UA"/>
        </w:rPr>
      </w:pPr>
      <w:r>
        <w:rPr>
          <w:rFonts w:ascii="Times New Roman" w:hAnsi="Times New Roman"/>
          <w:sz w:val="28"/>
          <w:szCs w:val="28"/>
          <w:lang w:val="ru-RU"/>
        </w:rPr>
        <w:lastRenderedPageBreak/>
        <w:t>П</w:t>
      </w:r>
      <w:r w:rsidR="004D4BC2" w:rsidRPr="00DD39D0">
        <w:rPr>
          <w:rFonts w:ascii="Times New Roman" w:hAnsi="Times New Roman"/>
          <w:sz w:val="28"/>
          <w:szCs w:val="28"/>
          <w:lang w:val="uk-UA"/>
        </w:rPr>
        <w:t xml:space="preserve">ри проведенні регресійного аналізу очевидним є те, що отримані коефіцієнти значно більші за стандартну помилку (коефіцієнт </w:t>
      </w:r>
      <w:r w:rsidR="00334803">
        <w:rPr>
          <w:rFonts w:ascii="Times New Roman" w:hAnsi="Times New Roman"/>
          <w:sz w:val="28"/>
          <w:szCs w:val="28"/>
          <w:lang w:val="ru-RU"/>
        </w:rPr>
        <w:t>10.86 та стандар</w:t>
      </w:r>
      <w:r w:rsidR="004D4BC2" w:rsidRPr="00DD39D0">
        <w:rPr>
          <w:rFonts w:ascii="Times New Roman" w:hAnsi="Times New Roman"/>
          <w:sz w:val="28"/>
          <w:szCs w:val="28"/>
          <w:lang w:val="ru-RU"/>
        </w:rPr>
        <w:t>тна помилка 0.34</w:t>
      </w:r>
      <w:r w:rsidR="004D4BC2" w:rsidRPr="00DD39D0">
        <w:rPr>
          <w:rFonts w:ascii="Times New Roman" w:hAnsi="Times New Roman"/>
          <w:sz w:val="28"/>
          <w:szCs w:val="28"/>
          <w:lang w:val="uk-UA"/>
        </w:rPr>
        <w:t xml:space="preserve">, коефіцієнт </w:t>
      </w:r>
      <w:r w:rsidR="004D4BC2" w:rsidRPr="00DD39D0">
        <w:rPr>
          <w:rFonts w:ascii="Times New Roman" w:hAnsi="Times New Roman"/>
          <w:sz w:val="28"/>
          <w:szCs w:val="28"/>
          <w:lang w:val="ru-RU"/>
        </w:rPr>
        <w:t>-1.64 та стандартна помилка 0.13</w:t>
      </w:r>
      <w:r w:rsidR="004D4BC2" w:rsidRPr="00DD39D0">
        <w:rPr>
          <w:rFonts w:ascii="Times New Roman" w:hAnsi="Times New Roman"/>
          <w:sz w:val="28"/>
          <w:szCs w:val="28"/>
          <w:lang w:val="uk-UA"/>
        </w:rPr>
        <w:t>). На основі отриманих даних можливо побудувати рівняння лінійної регресії. Побудована залежність показників імуноглобуліна А (</w:t>
      </w:r>
      <w:r w:rsidR="004D4BC2" w:rsidRPr="00DD39D0">
        <w:rPr>
          <w:rFonts w:ascii="Times New Roman" w:hAnsi="Times New Roman"/>
          <w:sz w:val="28"/>
          <w:szCs w:val="28"/>
        </w:rPr>
        <w:t>Y</w:t>
      </w:r>
      <w:r w:rsidR="004D4BC2" w:rsidRPr="00DD39D0">
        <w:rPr>
          <w:rFonts w:ascii="Times New Roman" w:hAnsi="Times New Roman"/>
          <w:sz w:val="28"/>
          <w:szCs w:val="28"/>
          <w:lang w:val="uk-UA"/>
        </w:rPr>
        <w:t xml:space="preserve">) від рівня запалення згідно з індексом РМА (змінна </w:t>
      </w:r>
      <w:r w:rsidR="004D4BC2" w:rsidRPr="00DD39D0">
        <w:rPr>
          <w:rFonts w:ascii="Times New Roman" w:hAnsi="Times New Roman"/>
          <w:sz w:val="28"/>
          <w:szCs w:val="28"/>
        </w:rPr>
        <w:t>X</w:t>
      </w:r>
      <w:r w:rsidR="004D4BC2" w:rsidRPr="00DD39D0">
        <w:rPr>
          <w:rFonts w:ascii="Times New Roman" w:hAnsi="Times New Roman"/>
          <w:sz w:val="28"/>
          <w:szCs w:val="28"/>
          <w:lang w:val="uk-UA"/>
        </w:rPr>
        <w:t xml:space="preserve">) у вигляді лінійної регресії. Визначені коефіцієнти лінійної регресії мінус 1,63 та 10,85. Для оцінки загальної якості отриманого рівняння лінійної регресії застосовується коефіцієнт детермінації. Отримане  в результаті значення 0,76 означає, що 76 % змінюваності </w:t>
      </w:r>
      <w:r w:rsidR="004D4BC2" w:rsidRPr="00DD39D0">
        <w:rPr>
          <w:rFonts w:ascii="Times New Roman" w:hAnsi="Times New Roman"/>
          <w:sz w:val="28"/>
          <w:szCs w:val="28"/>
        </w:rPr>
        <w:t>Y</w:t>
      </w:r>
      <w:r w:rsidR="004D4BC2" w:rsidRPr="00DD39D0">
        <w:rPr>
          <w:rFonts w:ascii="Times New Roman" w:hAnsi="Times New Roman"/>
          <w:sz w:val="28"/>
          <w:szCs w:val="28"/>
          <w:lang w:val="uk-UA"/>
        </w:rPr>
        <w:t xml:space="preserve"> пов’язується зі змінюваністю фактору Х. Інша частина змінюваності </w:t>
      </w:r>
      <w:r w:rsidR="004D4BC2" w:rsidRPr="00DD39D0">
        <w:rPr>
          <w:rFonts w:ascii="Times New Roman" w:hAnsi="Times New Roman"/>
          <w:sz w:val="28"/>
          <w:szCs w:val="28"/>
        </w:rPr>
        <w:t>Y</w:t>
      </w:r>
      <w:r w:rsidR="004D4BC2" w:rsidRPr="00DD39D0">
        <w:rPr>
          <w:rFonts w:ascii="Times New Roman" w:hAnsi="Times New Roman"/>
          <w:sz w:val="28"/>
          <w:szCs w:val="28"/>
          <w:lang w:val="uk-UA"/>
        </w:rPr>
        <w:t xml:space="preserve"> (24 %) пов’язується з впливом інших факторів. Таким чином, оскільки функція регресії визначена, інтерпретована та обґрунтована, а оцінка якості рівняння регресії відповідає вимогам, можна вважати, що побудована модель та </w:t>
      </w:r>
      <w:r w:rsidR="00F40353">
        <w:rPr>
          <w:rFonts w:ascii="Times New Roman" w:hAnsi="Times New Roman"/>
          <w:sz w:val="28"/>
          <w:szCs w:val="28"/>
          <w:lang w:val="uk-UA"/>
        </w:rPr>
        <w:t>прогностичні</w:t>
      </w:r>
      <w:r w:rsidR="004D4BC2" w:rsidRPr="00DD39D0">
        <w:rPr>
          <w:rFonts w:ascii="Times New Roman" w:hAnsi="Times New Roman"/>
          <w:sz w:val="28"/>
          <w:szCs w:val="28"/>
          <w:lang w:val="uk-UA"/>
        </w:rPr>
        <w:t xml:space="preserve"> значення мають необхідну адекватність.</w:t>
      </w:r>
    </w:p>
    <w:p w:rsidR="004D4BC2" w:rsidRPr="00DD39D0" w:rsidRDefault="004D4BC2" w:rsidP="004D4BC2">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Результати дослідження взаємозв’язку між рівнем секреторного імуноглобуліну А та індексом кровоточивості ясен та регресійний ана</w:t>
      </w:r>
      <w:r w:rsidR="007608DF">
        <w:rPr>
          <w:rFonts w:ascii="Times New Roman" w:hAnsi="Times New Roman"/>
          <w:sz w:val="28"/>
          <w:szCs w:val="28"/>
          <w:lang w:val="uk-UA"/>
        </w:rPr>
        <w:t>ліз даних наведений у таблицях 6, 7</w:t>
      </w:r>
      <w:r w:rsidRPr="00DD39D0">
        <w:rPr>
          <w:rFonts w:ascii="Times New Roman" w:hAnsi="Times New Roman"/>
          <w:sz w:val="28"/>
          <w:szCs w:val="28"/>
          <w:lang w:val="uk-UA"/>
        </w:rPr>
        <w:t>.</w:t>
      </w:r>
    </w:p>
    <w:p w:rsidR="00F648E4" w:rsidRDefault="00F648E4" w:rsidP="007F028B">
      <w:pPr>
        <w:spacing w:after="120" w:line="240" w:lineRule="auto"/>
        <w:ind w:firstLine="709"/>
        <w:jc w:val="right"/>
        <w:rPr>
          <w:rFonts w:ascii="Times New Roman" w:hAnsi="Times New Roman"/>
          <w:i/>
          <w:sz w:val="28"/>
          <w:szCs w:val="28"/>
          <w:lang w:val="uk-UA"/>
        </w:rPr>
      </w:pPr>
    </w:p>
    <w:p w:rsidR="004D4BC2" w:rsidRPr="00DD39D0" w:rsidRDefault="007608DF" w:rsidP="007F028B">
      <w:pPr>
        <w:spacing w:after="120" w:line="240" w:lineRule="auto"/>
        <w:ind w:firstLine="709"/>
        <w:jc w:val="right"/>
        <w:rPr>
          <w:rFonts w:ascii="Times New Roman" w:hAnsi="Times New Roman"/>
          <w:i/>
          <w:sz w:val="28"/>
          <w:szCs w:val="28"/>
          <w:lang w:val="uk-UA"/>
        </w:rPr>
      </w:pPr>
      <w:r>
        <w:rPr>
          <w:rFonts w:ascii="Times New Roman" w:hAnsi="Times New Roman"/>
          <w:i/>
          <w:sz w:val="28"/>
          <w:szCs w:val="28"/>
          <w:lang w:val="uk-UA"/>
        </w:rPr>
        <w:t>Таблиця 6</w:t>
      </w:r>
    </w:p>
    <w:p w:rsidR="004D4BC2" w:rsidRPr="0047086B" w:rsidRDefault="004D4BC2" w:rsidP="007F028B">
      <w:pPr>
        <w:spacing w:after="120" w:line="240" w:lineRule="auto"/>
        <w:jc w:val="center"/>
        <w:rPr>
          <w:rFonts w:ascii="Times New Roman" w:hAnsi="Times New Roman"/>
          <w:b/>
          <w:sz w:val="28"/>
          <w:szCs w:val="28"/>
          <w:lang w:val="uk-UA"/>
        </w:rPr>
      </w:pPr>
      <w:r w:rsidRPr="0047086B">
        <w:rPr>
          <w:rFonts w:ascii="Times New Roman" w:hAnsi="Times New Roman"/>
          <w:b/>
          <w:sz w:val="28"/>
          <w:szCs w:val="28"/>
          <w:lang w:val="uk-UA"/>
        </w:rPr>
        <w:t xml:space="preserve">Регресійна статистика рівнів секреторного імуноглобуліну А та індексу </w:t>
      </w:r>
      <w:r w:rsidRPr="0047086B">
        <w:rPr>
          <w:rFonts w:ascii="Times New Roman" w:hAnsi="Times New Roman"/>
          <w:b/>
          <w:sz w:val="28"/>
          <w:szCs w:val="28"/>
        </w:rPr>
        <w:t>SBI</w:t>
      </w:r>
      <w:r w:rsidRPr="0047086B">
        <w:rPr>
          <w:rFonts w:ascii="Times New Roman" w:hAnsi="Times New Roman"/>
          <w:b/>
          <w:sz w:val="28"/>
          <w:szCs w:val="28"/>
          <w:lang w:val="uk-UA"/>
        </w:rPr>
        <w:t xml:space="preserve">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2"/>
        <w:gridCol w:w="4056"/>
      </w:tblGrid>
      <w:tr w:rsidR="004D4BC2" w:rsidRPr="008C1635" w:rsidTr="00CE785D">
        <w:trPr>
          <w:trHeight w:val="157"/>
        </w:trPr>
        <w:tc>
          <w:tcPr>
            <w:tcW w:w="9688" w:type="dxa"/>
            <w:gridSpan w:val="2"/>
            <w:shd w:val="clear" w:color="auto" w:fill="auto"/>
            <w:noWrap/>
            <w:hideMark/>
          </w:tcPr>
          <w:p w:rsidR="004D4BC2" w:rsidRPr="008C1635" w:rsidRDefault="004D4BC2" w:rsidP="007F028B">
            <w:pPr>
              <w:spacing w:after="0" w:line="240" w:lineRule="auto"/>
              <w:ind w:firstLine="709"/>
              <w:rPr>
                <w:rFonts w:ascii="Times New Roman" w:hAnsi="Times New Roman"/>
                <w:i/>
                <w:iCs/>
                <w:sz w:val="28"/>
                <w:szCs w:val="28"/>
                <w:lang w:val="uk-UA"/>
              </w:rPr>
            </w:pPr>
            <w:r w:rsidRPr="008C1635">
              <w:rPr>
                <w:rFonts w:ascii="Times New Roman" w:hAnsi="Times New Roman"/>
                <w:i/>
                <w:iCs/>
                <w:sz w:val="28"/>
                <w:szCs w:val="28"/>
                <w:lang w:val="uk-UA"/>
              </w:rPr>
              <w:t>Регресійна статистика</w:t>
            </w:r>
          </w:p>
        </w:tc>
      </w:tr>
      <w:tr w:rsidR="004D4BC2" w:rsidRPr="008C1635" w:rsidTr="00CE785D">
        <w:trPr>
          <w:trHeight w:val="157"/>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Множинний R</w:t>
            </w:r>
          </w:p>
        </w:tc>
        <w:tc>
          <w:tcPr>
            <w:tcW w:w="4055"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0.933328946</w:t>
            </w:r>
          </w:p>
        </w:tc>
      </w:tr>
      <w:tr w:rsidR="004D4BC2" w:rsidRPr="008C1635" w:rsidTr="00CE785D">
        <w:trPr>
          <w:trHeight w:val="157"/>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R-квадрат</w:t>
            </w:r>
          </w:p>
        </w:tc>
        <w:tc>
          <w:tcPr>
            <w:tcW w:w="4055"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0.871102921</w:t>
            </w:r>
          </w:p>
        </w:tc>
      </w:tr>
      <w:tr w:rsidR="004D4BC2" w:rsidRPr="008C1635" w:rsidTr="00CE785D">
        <w:trPr>
          <w:trHeight w:val="157"/>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Нормований R-квадрат</w:t>
            </w:r>
          </w:p>
        </w:tc>
        <w:tc>
          <w:tcPr>
            <w:tcW w:w="4055"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0.865947038</w:t>
            </w:r>
          </w:p>
        </w:tc>
      </w:tr>
      <w:tr w:rsidR="004D4BC2" w:rsidRPr="008C1635" w:rsidTr="00CE785D">
        <w:trPr>
          <w:trHeight w:val="157"/>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Стандартна помилка</w:t>
            </w:r>
          </w:p>
        </w:tc>
        <w:tc>
          <w:tcPr>
            <w:tcW w:w="4055"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rPr>
            </w:pPr>
            <w:r w:rsidRPr="008C1635">
              <w:rPr>
                <w:rFonts w:ascii="Times New Roman" w:hAnsi="Times New Roman"/>
                <w:sz w:val="28"/>
                <w:szCs w:val="28"/>
              </w:rPr>
              <w:t>5.264184457</w:t>
            </w:r>
          </w:p>
        </w:tc>
      </w:tr>
      <w:tr w:rsidR="004D4BC2" w:rsidRPr="008C1635" w:rsidTr="00CE785D">
        <w:trPr>
          <w:trHeight w:val="166"/>
        </w:trPr>
        <w:tc>
          <w:tcPr>
            <w:tcW w:w="5632"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lang w:val="ru-RU"/>
              </w:rPr>
            </w:pPr>
            <w:r w:rsidRPr="008C1635">
              <w:rPr>
                <w:rFonts w:ascii="Times New Roman" w:hAnsi="Times New Roman"/>
                <w:sz w:val="28"/>
                <w:szCs w:val="28"/>
                <w:lang w:val="ru-RU"/>
              </w:rPr>
              <w:t>Спостереження</w:t>
            </w:r>
          </w:p>
        </w:tc>
        <w:tc>
          <w:tcPr>
            <w:tcW w:w="4055" w:type="dxa"/>
            <w:shd w:val="clear" w:color="auto" w:fill="auto"/>
            <w:noWrap/>
            <w:hideMark/>
          </w:tcPr>
          <w:p w:rsidR="004D4BC2" w:rsidRPr="008C1635" w:rsidRDefault="004D4BC2" w:rsidP="004D4BC2">
            <w:pPr>
              <w:spacing w:after="0" w:line="240" w:lineRule="auto"/>
              <w:ind w:firstLine="709"/>
              <w:rPr>
                <w:rFonts w:ascii="Times New Roman" w:hAnsi="Times New Roman"/>
                <w:sz w:val="28"/>
                <w:szCs w:val="28"/>
                <w:lang w:val="uk-UA"/>
              </w:rPr>
            </w:pPr>
            <w:r w:rsidRPr="008C1635">
              <w:rPr>
                <w:rFonts w:ascii="Times New Roman" w:hAnsi="Times New Roman"/>
                <w:sz w:val="28"/>
                <w:szCs w:val="28"/>
                <w:lang w:val="uk-UA"/>
              </w:rPr>
              <w:t>76</w:t>
            </w:r>
          </w:p>
        </w:tc>
      </w:tr>
    </w:tbl>
    <w:p w:rsidR="004D4BC2" w:rsidRPr="00DD39D0" w:rsidRDefault="004D4BC2" w:rsidP="004D4BC2">
      <w:pPr>
        <w:spacing w:after="0" w:line="240" w:lineRule="auto"/>
        <w:ind w:firstLine="709"/>
        <w:rPr>
          <w:rFonts w:ascii="Times New Roman" w:hAnsi="Times New Roman"/>
          <w:sz w:val="28"/>
          <w:szCs w:val="28"/>
          <w:lang w:val="uk-UA"/>
        </w:rPr>
      </w:pPr>
    </w:p>
    <w:p w:rsidR="004D4BC2" w:rsidRPr="00DD39D0" w:rsidRDefault="004D4BC2" w:rsidP="0023740E">
      <w:pPr>
        <w:spacing w:after="12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Для оцінки загальної якості отриманого рівняння лінійної регресії застосували коефіцієнт детермінації, який позначений як </w:t>
      </w:r>
      <w:r w:rsidRPr="00DD39D0">
        <w:rPr>
          <w:rFonts w:ascii="Times New Roman" w:hAnsi="Times New Roman"/>
          <w:sz w:val="28"/>
          <w:szCs w:val="28"/>
        </w:rPr>
        <w:t>R</w:t>
      </w:r>
      <w:r w:rsidRPr="00DD39D0">
        <w:rPr>
          <w:rFonts w:ascii="Times New Roman" w:hAnsi="Times New Roman"/>
          <w:sz w:val="28"/>
          <w:szCs w:val="28"/>
          <w:lang w:val="uk-UA"/>
        </w:rPr>
        <w:t xml:space="preserve">-квадрат та дорівнював 0.87. Даний коефіцієнт є показником якості рівняння регресії й </w:t>
      </w:r>
      <w:r w:rsidR="00CE785D" w:rsidRPr="00DD39D0">
        <w:rPr>
          <w:rFonts w:ascii="Times New Roman" w:hAnsi="Times New Roman"/>
          <w:sz w:val="28"/>
          <w:szCs w:val="28"/>
          <w:lang w:val="uk-UA"/>
        </w:rPr>
        <w:t xml:space="preserve">адекватності </w:t>
      </w:r>
      <w:r w:rsidR="00F40353">
        <w:rPr>
          <w:rFonts w:ascii="Times New Roman" w:hAnsi="Times New Roman"/>
          <w:sz w:val="28"/>
          <w:szCs w:val="28"/>
          <w:lang w:val="uk-UA"/>
        </w:rPr>
        <w:t>прогностичних</w:t>
      </w:r>
      <w:r w:rsidR="00CE785D" w:rsidRPr="00DD39D0">
        <w:rPr>
          <w:rFonts w:ascii="Times New Roman" w:hAnsi="Times New Roman"/>
          <w:sz w:val="28"/>
          <w:szCs w:val="28"/>
          <w:lang w:val="uk-UA"/>
        </w:rPr>
        <w:t xml:space="preserve"> значень</w:t>
      </w:r>
      <w:r w:rsidRPr="00DD39D0">
        <w:rPr>
          <w:rFonts w:ascii="Times New Roman" w:hAnsi="Times New Roman"/>
          <w:sz w:val="28"/>
          <w:szCs w:val="28"/>
          <w:lang w:val="uk-UA"/>
        </w:rPr>
        <w:t xml:space="preserve">. </w:t>
      </w:r>
      <w:r w:rsidR="00417A34" w:rsidRPr="00DD39D0">
        <w:rPr>
          <w:rFonts w:ascii="Times New Roman" w:hAnsi="Times New Roman"/>
          <w:sz w:val="28"/>
          <w:szCs w:val="28"/>
          <w:lang w:val="uk-UA"/>
        </w:rPr>
        <w:t>Оскільки його значення дорівнює 0.87, рівень секреторного імуноглобуліну А є інформативним біомаркером для прогнозу та діагностики запальних захворювань пародонту у дітей з атопією.</w:t>
      </w:r>
    </w:p>
    <w:p w:rsidR="004D4BC2" w:rsidRPr="00DD39D0" w:rsidRDefault="007608DF" w:rsidP="0023740E">
      <w:pPr>
        <w:spacing w:after="120" w:line="240" w:lineRule="auto"/>
        <w:ind w:firstLine="709"/>
        <w:jc w:val="right"/>
        <w:rPr>
          <w:rFonts w:ascii="Times New Roman" w:hAnsi="Times New Roman"/>
          <w:i/>
          <w:sz w:val="28"/>
          <w:szCs w:val="28"/>
          <w:lang w:val="uk-UA"/>
        </w:rPr>
      </w:pPr>
      <w:r>
        <w:rPr>
          <w:rFonts w:ascii="Times New Roman" w:hAnsi="Times New Roman"/>
          <w:i/>
          <w:sz w:val="28"/>
          <w:szCs w:val="28"/>
          <w:lang w:val="uk-UA"/>
        </w:rPr>
        <w:t>Таблиця 7</w:t>
      </w:r>
    </w:p>
    <w:p w:rsidR="004D4BC2" w:rsidRPr="0047086B" w:rsidRDefault="004D4BC2" w:rsidP="007F028B">
      <w:pPr>
        <w:spacing w:after="120" w:line="240" w:lineRule="auto"/>
        <w:ind w:firstLine="709"/>
        <w:jc w:val="center"/>
        <w:rPr>
          <w:rFonts w:ascii="Times New Roman" w:hAnsi="Times New Roman"/>
          <w:b/>
          <w:sz w:val="28"/>
          <w:szCs w:val="28"/>
          <w:lang w:val="uk-UA"/>
        </w:rPr>
      </w:pPr>
      <w:r w:rsidRPr="0047086B">
        <w:rPr>
          <w:rFonts w:ascii="Times New Roman" w:hAnsi="Times New Roman"/>
          <w:b/>
          <w:sz w:val="28"/>
          <w:szCs w:val="28"/>
          <w:lang w:val="uk-UA"/>
        </w:rPr>
        <w:t>Визначення коефіцієнтів регресійної статистики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4"/>
        <w:gridCol w:w="2145"/>
        <w:gridCol w:w="1961"/>
        <w:gridCol w:w="1613"/>
      </w:tblGrid>
      <w:tr w:rsidR="004D4BC2" w:rsidRPr="008C1635" w:rsidTr="00CE785D">
        <w:trPr>
          <w:trHeight w:val="255"/>
        </w:trPr>
        <w:tc>
          <w:tcPr>
            <w:tcW w:w="1696" w:type="dxa"/>
            <w:shd w:val="clear" w:color="auto" w:fill="auto"/>
            <w:noWrap/>
            <w:hideMark/>
          </w:tcPr>
          <w:p w:rsidR="004D4BC2" w:rsidRPr="008C1635" w:rsidRDefault="004D4BC2" w:rsidP="004D4BC2">
            <w:pPr>
              <w:spacing w:after="0" w:line="240" w:lineRule="auto"/>
              <w:ind w:firstLine="709"/>
              <w:rPr>
                <w:rFonts w:ascii="Times New Roman" w:hAnsi="Times New Roman"/>
                <w:i/>
                <w:iCs/>
                <w:sz w:val="28"/>
                <w:szCs w:val="28"/>
                <w:lang w:val="ru-RU"/>
              </w:rPr>
            </w:pPr>
            <w:r w:rsidRPr="008C1635">
              <w:rPr>
                <w:rFonts w:ascii="Times New Roman" w:hAnsi="Times New Roman"/>
                <w:i/>
                <w:iCs/>
                <w:sz w:val="28"/>
                <w:szCs w:val="28"/>
              </w:rPr>
              <w:t> </w:t>
            </w:r>
          </w:p>
        </w:tc>
        <w:tc>
          <w:tcPr>
            <w:tcW w:w="2264" w:type="dxa"/>
            <w:shd w:val="clear" w:color="auto" w:fill="auto"/>
            <w:noWrap/>
            <w:hideMark/>
          </w:tcPr>
          <w:p w:rsidR="004D4BC2" w:rsidRPr="008C1635" w:rsidRDefault="004D4BC2" w:rsidP="004D4BC2">
            <w:pPr>
              <w:spacing w:after="0" w:line="240" w:lineRule="auto"/>
              <w:rPr>
                <w:rFonts w:ascii="Times New Roman" w:hAnsi="Times New Roman"/>
                <w:i/>
                <w:iCs/>
                <w:sz w:val="28"/>
                <w:szCs w:val="28"/>
                <w:lang w:val="uk-UA"/>
              </w:rPr>
            </w:pPr>
            <w:r w:rsidRPr="008C1635">
              <w:rPr>
                <w:rFonts w:ascii="Times New Roman" w:hAnsi="Times New Roman"/>
                <w:i/>
                <w:iCs/>
                <w:sz w:val="28"/>
                <w:szCs w:val="28"/>
                <w:lang w:val="uk-UA"/>
              </w:rPr>
              <w:t>Коефіцієнти</w:t>
            </w:r>
          </w:p>
        </w:tc>
        <w:tc>
          <w:tcPr>
            <w:tcW w:w="2145" w:type="dxa"/>
            <w:shd w:val="clear" w:color="auto" w:fill="auto"/>
            <w:noWrap/>
            <w:hideMark/>
          </w:tcPr>
          <w:p w:rsidR="004D4BC2" w:rsidRPr="008C1635" w:rsidRDefault="004D4BC2" w:rsidP="004D4BC2">
            <w:pPr>
              <w:spacing w:after="0" w:line="240" w:lineRule="auto"/>
              <w:rPr>
                <w:rFonts w:ascii="Times New Roman" w:hAnsi="Times New Roman"/>
                <w:i/>
                <w:iCs/>
                <w:sz w:val="28"/>
                <w:szCs w:val="28"/>
                <w:lang w:val="uk-UA"/>
              </w:rPr>
            </w:pPr>
            <w:r w:rsidRPr="008C1635">
              <w:rPr>
                <w:rFonts w:ascii="Times New Roman" w:hAnsi="Times New Roman"/>
                <w:i/>
                <w:iCs/>
                <w:sz w:val="28"/>
                <w:szCs w:val="28"/>
                <w:lang w:val="uk-UA"/>
              </w:rPr>
              <w:t>Стандартна помилка</w:t>
            </w:r>
          </w:p>
        </w:tc>
        <w:tc>
          <w:tcPr>
            <w:tcW w:w="1961" w:type="dxa"/>
            <w:shd w:val="clear" w:color="auto" w:fill="auto"/>
            <w:noWrap/>
            <w:hideMark/>
          </w:tcPr>
          <w:p w:rsidR="004D4BC2" w:rsidRPr="008C1635" w:rsidRDefault="004D4BC2" w:rsidP="004D4BC2">
            <w:pPr>
              <w:spacing w:after="0" w:line="240" w:lineRule="auto"/>
              <w:ind w:firstLine="709"/>
              <w:rPr>
                <w:rFonts w:ascii="Times New Roman" w:hAnsi="Times New Roman"/>
                <w:i/>
                <w:iCs/>
                <w:sz w:val="28"/>
                <w:szCs w:val="28"/>
              </w:rPr>
            </w:pPr>
            <w:r w:rsidRPr="008C1635">
              <w:rPr>
                <w:rFonts w:ascii="Times New Roman" w:hAnsi="Times New Roman"/>
                <w:i/>
                <w:iCs/>
                <w:sz w:val="28"/>
                <w:szCs w:val="28"/>
              </w:rPr>
              <w:t>t-статистика</w:t>
            </w:r>
          </w:p>
        </w:tc>
        <w:tc>
          <w:tcPr>
            <w:tcW w:w="1613" w:type="dxa"/>
            <w:shd w:val="clear" w:color="auto" w:fill="auto"/>
            <w:noWrap/>
            <w:hideMark/>
          </w:tcPr>
          <w:p w:rsidR="004D4BC2" w:rsidRPr="008C1635" w:rsidRDefault="004D4BC2" w:rsidP="004D4BC2">
            <w:pPr>
              <w:spacing w:after="0" w:line="240" w:lineRule="auto"/>
              <w:ind w:firstLine="709"/>
              <w:rPr>
                <w:rFonts w:ascii="Times New Roman" w:hAnsi="Times New Roman"/>
                <w:i/>
                <w:iCs/>
                <w:sz w:val="28"/>
                <w:szCs w:val="28"/>
                <w:lang w:val="uk-UA"/>
              </w:rPr>
            </w:pPr>
            <w:r w:rsidRPr="008C1635">
              <w:rPr>
                <w:rFonts w:ascii="Times New Roman" w:hAnsi="Times New Roman"/>
                <w:i/>
                <w:iCs/>
                <w:sz w:val="28"/>
                <w:szCs w:val="28"/>
              </w:rPr>
              <w:t>P-</w:t>
            </w:r>
            <w:r w:rsidRPr="008C1635">
              <w:rPr>
                <w:rFonts w:ascii="Times New Roman" w:hAnsi="Times New Roman"/>
                <w:i/>
                <w:iCs/>
                <w:sz w:val="28"/>
                <w:szCs w:val="28"/>
                <w:lang w:val="uk-UA"/>
              </w:rPr>
              <w:t>значення</w:t>
            </w:r>
          </w:p>
        </w:tc>
      </w:tr>
      <w:tr w:rsidR="004D4BC2" w:rsidRPr="008C1635" w:rsidTr="00CE785D">
        <w:trPr>
          <w:trHeight w:val="255"/>
        </w:trPr>
        <w:tc>
          <w:tcPr>
            <w:tcW w:w="1696"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Y-пересічення</w:t>
            </w:r>
          </w:p>
        </w:tc>
        <w:tc>
          <w:tcPr>
            <w:tcW w:w="2264"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-88.66873813</w:t>
            </w:r>
          </w:p>
        </w:tc>
        <w:tc>
          <w:tcPr>
            <w:tcW w:w="2145"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14.52809987</w:t>
            </w:r>
          </w:p>
        </w:tc>
        <w:tc>
          <w:tcPr>
            <w:tcW w:w="1961"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-6.103257752</w:t>
            </w:r>
          </w:p>
        </w:tc>
        <w:tc>
          <w:tcPr>
            <w:tcW w:w="1613"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2.2255E-06</w:t>
            </w:r>
          </w:p>
        </w:tc>
      </w:tr>
      <w:tr w:rsidR="004D4BC2" w:rsidRPr="008C1635" w:rsidTr="00CE785D">
        <w:trPr>
          <w:trHeight w:val="270"/>
        </w:trPr>
        <w:tc>
          <w:tcPr>
            <w:tcW w:w="1696"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lang w:val="uk-UA"/>
              </w:rPr>
              <w:lastRenderedPageBreak/>
              <w:t>Змінна</w:t>
            </w:r>
            <w:r w:rsidRPr="008C1635">
              <w:rPr>
                <w:rFonts w:ascii="Times New Roman" w:hAnsi="Times New Roman"/>
                <w:sz w:val="28"/>
                <w:szCs w:val="28"/>
              </w:rPr>
              <w:t xml:space="preserve"> X 1</w:t>
            </w:r>
          </w:p>
        </w:tc>
        <w:tc>
          <w:tcPr>
            <w:tcW w:w="2264"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50.62451495</w:t>
            </w:r>
          </w:p>
        </w:tc>
        <w:tc>
          <w:tcPr>
            <w:tcW w:w="2145"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3.894732842</w:t>
            </w:r>
          </w:p>
        </w:tc>
        <w:tc>
          <w:tcPr>
            <w:tcW w:w="1961"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12.99819962</w:t>
            </w:r>
          </w:p>
        </w:tc>
        <w:tc>
          <w:tcPr>
            <w:tcW w:w="1613" w:type="dxa"/>
            <w:shd w:val="clear" w:color="auto" w:fill="auto"/>
            <w:noWrap/>
            <w:hideMark/>
          </w:tcPr>
          <w:p w:rsidR="004D4BC2" w:rsidRPr="008C1635" w:rsidRDefault="004D4BC2" w:rsidP="004D4BC2">
            <w:pPr>
              <w:spacing w:after="0" w:line="240" w:lineRule="auto"/>
              <w:rPr>
                <w:rFonts w:ascii="Times New Roman" w:hAnsi="Times New Roman"/>
                <w:sz w:val="28"/>
                <w:szCs w:val="28"/>
              </w:rPr>
            </w:pPr>
            <w:r w:rsidRPr="008C1635">
              <w:rPr>
                <w:rFonts w:ascii="Times New Roman" w:hAnsi="Times New Roman"/>
                <w:sz w:val="28"/>
                <w:szCs w:val="28"/>
              </w:rPr>
              <w:t>1.2714E-12</w:t>
            </w:r>
          </w:p>
        </w:tc>
      </w:tr>
    </w:tbl>
    <w:p w:rsidR="004D4BC2" w:rsidRPr="00DD39D0" w:rsidRDefault="004D4BC2" w:rsidP="004D4BC2">
      <w:pPr>
        <w:spacing w:after="0" w:line="240" w:lineRule="auto"/>
        <w:jc w:val="both"/>
        <w:rPr>
          <w:rFonts w:ascii="Times New Roman" w:hAnsi="Times New Roman"/>
          <w:sz w:val="28"/>
          <w:szCs w:val="28"/>
          <w:lang w:val="uk-UA"/>
        </w:rPr>
      </w:pPr>
    </w:p>
    <w:p w:rsidR="004D4BC2" w:rsidRPr="00DD39D0" w:rsidRDefault="004D4BC2" w:rsidP="004D4BC2">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На основі отриманих даних побудована залежність показників секреторного імуноглобуліна А (</w:t>
      </w:r>
      <w:r w:rsidRPr="00DD39D0">
        <w:rPr>
          <w:rFonts w:ascii="Times New Roman" w:hAnsi="Times New Roman"/>
          <w:sz w:val="28"/>
          <w:szCs w:val="28"/>
        </w:rPr>
        <w:t>Y</w:t>
      </w:r>
      <w:r w:rsidRPr="00DD39D0">
        <w:rPr>
          <w:rFonts w:ascii="Times New Roman" w:hAnsi="Times New Roman"/>
          <w:sz w:val="28"/>
          <w:szCs w:val="28"/>
          <w:lang w:val="uk-UA"/>
        </w:rPr>
        <w:t xml:space="preserve">) від рівня запалення згідно з індексом </w:t>
      </w:r>
      <w:r w:rsidR="00CE785D" w:rsidRPr="00DD39D0">
        <w:rPr>
          <w:rFonts w:ascii="Times New Roman" w:hAnsi="Times New Roman"/>
          <w:sz w:val="28"/>
          <w:szCs w:val="28"/>
        </w:rPr>
        <w:t>SBI</w:t>
      </w:r>
      <w:r w:rsidRPr="00DD39D0">
        <w:rPr>
          <w:rFonts w:ascii="Times New Roman" w:hAnsi="Times New Roman"/>
          <w:sz w:val="28"/>
          <w:szCs w:val="28"/>
          <w:lang w:val="uk-UA"/>
        </w:rPr>
        <w:t xml:space="preserve"> (змінна </w:t>
      </w:r>
      <w:r w:rsidRPr="00DD39D0">
        <w:rPr>
          <w:rFonts w:ascii="Times New Roman" w:hAnsi="Times New Roman"/>
          <w:sz w:val="28"/>
          <w:szCs w:val="28"/>
        </w:rPr>
        <w:t>X</w:t>
      </w:r>
      <w:r w:rsidRPr="00DD39D0">
        <w:rPr>
          <w:rFonts w:ascii="Times New Roman" w:hAnsi="Times New Roman"/>
          <w:sz w:val="28"/>
          <w:szCs w:val="28"/>
          <w:lang w:val="uk-UA"/>
        </w:rPr>
        <w:t xml:space="preserve">) у вигляді лінійної регресії. Визначені коефіцієнти лінійної регресії мінус 88,7 та 50,6. </w:t>
      </w:r>
      <w:r w:rsidR="00CE785D" w:rsidRPr="00DD39D0">
        <w:rPr>
          <w:rFonts w:ascii="Times New Roman" w:hAnsi="Times New Roman"/>
          <w:sz w:val="28"/>
          <w:szCs w:val="28"/>
          <w:lang w:val="uk-UA"/>
        </w:rPr>
        <w:t>Коефіцієнт детермінації дорівнював</w:t>
      </w:r>
      <w:r w:rsidRPr="00DD39D0">
        <w:rPr>
          <w:rFonts w:ascii="Times New Roman" w:hAnsi="Times New Roman"/>
          <w:sz w:val="28"/>
          <w:szCs w:val="28"/>
          <w:lang w:val="uk-UA"/>
        </w:rPr>
        <w:t xml:space="preserve"> 0,87</w:t>
      </w:r>
      <w:r w:rsidR="00CE785D" w:rsidRPr="00DD39D0">
        <w:rPr>
          <w:rFonts w:ascii="Times New Roman" w:hAnsi="Times New Roman"/>
          <w:sz w:val="28"/>
          <w:szCs w:val="28"/>
          <w:lang w:val="uk-UA"/>
        </w:rPr>
        <w:t>, що</w:t>
      </w:r>
      <w:r w:rsidRPr="00DD39D0">
        <w:rPr>
          <w:rFonts w:ascii="Times New Roman" w:hAnsi="Times New Roman"/>
          <w:sz w:val="28"/>
          <w:szCs w:val="28"/>
          <w:lang w:val="uk-UA"/>
        </w:rPr>
        <w:t xml:space="preserve"> означає, що 87% змінюваності </w:t>
      </w:r>
      <w:r w:rsidR="00CE785D" w:rsidRPr="00DD39D0">
        <w:rPr>
          <w:rFonts w:ascii="Times New Roman" w:hAnsi="Times New Roman"/>
          <w:sz w:val="28"/>
          <w:szCs w:val="28"/>
          <w:lang w:val="uk-UA"/>
        </w:rPr>
        <w:t>секреторного імуноглобуліну А</w:t>
      </w:r>
      <w:r w:rsidRPr="00DD39D0">
        <w:rPr>
          <w:rFonts w:ascii="Times New Roman" w:hAnsi="Times New Roman"/>
          <w:sz w:val="28"/>
          <w:szCs w:val="28"/>
          <w:lang w:val="uk-UA"/>
        </w:rPr>
        <w:t xml:space="preserve"> пов’язується зі змінюваністю </w:t>
      </w:r>
      <w:r w:rsidR="00CE785D" w:rsidRPr="00DD39D0">
        <w:rPr>
          <w:rFonts w:ascii="Times New Roman" w:hAnsi="Times New Roman"/>
          <w:sz w:val="28"/>
          <w:szCs w:val="28"/>
          <w:lang w:val="uk-UA"/>
        </w:rPr>
        <w:t xml:space="preserve">індексу </w:t>
      </w:r>
      <w:r w:rsidR="00CE785D" w:rsidRPr="00DD39D0">
        <w:rPr>
          <w:rFonts w:ascii="Times New Roman" w:hAnsi="Times New Roman"/>
          <w:sz w:val="28"/>
          <w:szCs w:val="28"/>
        </w:rPr>
        <w:t>SBI</w:t>
      </w:r>
      <w:r w:rsidRPr="00DD39D0">
        <w:rPr>
          <w:rFonts w:ascii="Times New Roman" w:hAnsi="Times New Roman"/>
          <w:sz w:val="28"/>
          <w:szCs w:val="28"/>
          <w:lang w:val="uk-UA"/>
        </w:rPr>
        <w:t xml:space="preserve">. </w:t>
      </w:r>
    </w:p>
    <w:p w:rsidR="00CE785D" w:rsidRPr="00DD39D0" w:rsidRDefault="00CE785D" w:rsidP="00CE785D">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Згідно з отриманими даними середній рівень кровоточивості ясен за індексом </w:t>
      </w:r>
      <w:r w:rsidRPr="00DD39D0">
        <w:rPr>
          <w:rFonts w:ascii="Times New Roman" w:hAnsi="Times New Roman"/>
          <w:sz w:val="28"/>
          <w:szCs w:val="28"/>
        </w:rPr>
        <w:t>SBI</w:t>
      </w:r>
      <w:r w:rsidRPr="00DD39D0">
        <w:rPr>
          <w:rFonts w:ascii="Times New Roman" w:hAnsi="Times New Roman"/>
          <w:sz w:val="28"/>
          <w:szCs w:val="28"/>
          <w:lang w:val="uk-UA"/>
        </w:rPr>
        <w:t xml:space="preserve"> дорівнював 3.42±0.42 балам, що свідчить про доволі високий рівень кровоточивості та відповідно про наявність процесів запалення у тканинах пародонту. Середній рівень </w:t>
      </w:r>
      <w:r w:rsidRPr="00DD39D0">
        <w:rPr>
          <w:rFonts w:ascii="Times New Roman" w:hAnsi="Times New Roman"/>
          <w:sz w:val="28"/>
          <w:szCs w:val="28"/>
        </w:rPr>
        <w:t>IgG</w:t>
      </w:r>
      <w:r w:rsidRPr="00DD39D0">
        <w:rPr>
          <w:rFonts w:ascii="Times New Roman" w:hAnsi="Times New Roman"/>
          <w:sz w:val="28"/>
          <w:szCs w:val="28"/>
          <w:lang w:val="uk-UA"/>
        </w:rPr>
        <w:t xml:space="preserve"> дорівнював 1.72 ± 0.49 г/л. Результати визначення залежності між даними показниками за допомогою регресійно</w:t>
      </w:r>
      <w:r w:rsidR="007608DF">
        <w:rPr>
          <w:rFonts w:ascii="Times New Roman" w:hAnsi="Times New Roman"/>
          <w:sz w:val="28"/>
          <w:szCs w:val="28"/>
          <w:lang w:val="uk-UA"/>
        </w:rPr>
        <w:t>го аналізу наведені у таблицях 8, 9</w:t>
      </w:r>
      <w:r w:rsidRPr="00DD39D0">
        <w:rPr>
          <w:rFonts w:ascii="Times New Roman" w:hAnsi="Times New Roman"/>
          <w:sz w:val="28"/>
          <w:szCs w:val="28"/>
          <w:lang w:val="uk-UA"/>
        </w:rPr>
        <w:t>.</w:t>
      </w:r>
    </w:p>
    <w:p w:rsidR="00F648E4" w:rsidRDefault="00F648E4" w:rsidP="007F028B">
      <w:pPr>
        <w:spacing w:after="120" w:line="240" w:lineRule="auto"/>
        <w:ind w:firstLine="709"/>
        <w:jc w:val="right"/>
        <w:rPr>
          <w:rFonts w:ascii="Times New Roman" w:hAnsi="Times New Roman"/>
          <w:i/>
          <w:sz w:val="28"/>
          <w:szCs w:val="28"/>
          <w:lang w:val="uk-UA"/>
        </w:rPr>
      </w:pPr>
    </w:p>
    <w:p w:rsidR="00F648E4" w:rsidRDefault="00F648E4" w:rsidP="007F028B">
      <w:pPr>
        <w:spacing w:after="120" w:line="240" w:lineRule="auto"/>
        <w:ind w:firstLine="709"/>
        <w:jc w:val="right"/>
        <w:rPr>
          <w:rFonts w:ascii="Times New Roman" w:hAnsi="Times New Roman"/>
          <w:i/>
          <w:sz w:val="28"/>
          <w:szCs w:val="28"/>
          <w:lang w:val="uk-UA"/>
        </w:rPr>
      </w:pPr>
    </w:p>
    <w:p w:rsidR="00F648E4" w:rsidRDefault="00F648E4" w:rsidP="007F028B">
      <w:pPr>
        <w:spacing w:after="120" w:line="240" w:lineRule="auto"/>
        <w:ind w:firstLine="709"/>
        <w:jc w:val="right"/>
        <w:rPr>
          <w:rFonts w:ascii="Times New Roman" w:hAnsi="Times New Roman"/>
          <w:i/>
          <w:sz w:val="28"/>
          <w:szCs w:val="28"/>
          <w:lang w:val="uk-UA"/>
        </w:rPr>
      </w:pPr>
    </w:p>
    <w:p w:rsidR="00CE785D" w:rsidRPr="00DD39D0" w:rsidRDefault="007608DF" w:rsidP="007F028B">
      <w:pPr>
        <w:spacing w:after="120" w:line="240" w:lineRule="auto"/>
        <w:ind w:firstLine="709"/>
        <w:jc w:val="right"/>
        <w:rPr>
          <w:rFonts w:ascii="Times New Roman" w:hAnsi="Times New Roman"/>
          <w:i/>
          <w:sz w:val="28"/>
          <w:szCs w:val="28"/>
          <w:lang w:val="uk-UA"/>
        </w:rPr>
      </w:pPr>
      <w:r>
        <w:rPr>
          <w:rFonts w:ascii="Times New Roman" w:hAnsi="Times New Roman"/>
          <w:i/>
          <w:sz w:val="28"/>
          <w:szCs w:val="28"/>
          <w:lang w:val="uk-UA"/>
        </w:rPr>
        <w:t>Таблиця 8</w:t>
      </w:r>
    </w:p>
    <w:p w:rsidR="00CE785D" w:rsidRPr="0047086B" w:rsidRDefault="00CE785D" w:rsidP="007F028B">
      <w:pPr>
        <w:spacing w:after="120" w:line="240" w:lineRule="auto"/>
        <w:ind w:firstLine="709"/>
        <w:jc w:val="center"/>
        <w:rPr>
          <w:rFonts w:ascii="Times New Roman" w:hAnsi="Times New Roman"/>
          <w:b/>
          <w:sz w:val="28"/>
          <w:szCs w:val="28"/>
          <w:lang w:val="uk-UA"/>
        </w:rPr>
      </w:pPr>
      <w:r w:rsidRPr="0047086B">
        <w:rPr>
          <w:rFonts w:ascii="Times New Roman" w:hAnsi="Times New Roman"/>
          <w:b/>
          <w:sz w:val="28"/>
          <w:szCs w:val="28"/>
          <w:lang w:val="uk-UA"/>
        </w:rPr>
        <w:t xml:space="preserve">Регресійна статистика рівнів імуноглобуліну </w:t>
      </w:r>
      <w:r w:rsidRPr="0047086B">
        <w:rPr>
          <w:rFonts w:ascii="Times New Roman" w:hAnsi="Times New Roman"/>
          <w:b/>
          <w:sz w:val="28"/>
          <w:szCs w:val="28"/>
        </w:rPr>
        <w:t>G</w:t>
      </w:r>
      <w:r w:rsidRPr="0047086B">
        <w:rPr>
          <w:rFonts w:ascii="Times New Roman" w:hAnsi="Times New Roman"/>
          <w:b/>
          <w:sz w:val="28"/>
          <w:szCs w:val="28"/>
          <w:lang w:val="uk-UA"/>
        </w:rPr>
        <w:t xml:space="preserve"> та індексу </w:t>
      </w:r>
      <w:r w:rsidRPr="0047086B">
        <w:rPr>
          <w:rFonts w:ascii="Times New Roman" w:hAnsi="Times New Roman"/>
          <w:b/>
          <w:sz w:val="28"/>
          <w:szCs w:val="28"/>
        </w:rPr>
        <w:t>SBI</w:t>
      </w:r>
      <w:r w:rsidRPr="0047086B">
        <w:rPr>
          <w:rFonts w:ascii="Times New Roman" w:hAnsi="Times New Roman"/>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3756"/>
      </w:tblGrid>
      <w:tr w:rsidR="00CE785D" w:rsidRPr="008C1635" w:rsidTr="008C1635">
        <w:trPr>
          <w:trHeight w:val="214"/>
        </w:trPr>
        <w:tc>
          <w:tcPr>
            <w:tcW w:w="9315" w:type="dxa"/>
            <w:gridSpan w:val="2"/>
            <w:shd w:val="clear" w:color="auto" w:fill="auto"/>
            <w:noWrap/>
            <w:hideMark/>
          </w:tcPr>
          <w:p w:rsidR="00CE785D" w:rsidRPr="008C1635" w:rsidRDefault="00CE785D" w:rsidP="008C1635">
            <w:pPr>
              <w:spacing w:after="0" w:line="240" w:lineRule="auto"/>
              <w:ind w:firstLine="709"/>
              <w:rPr>
                <w:rFonts w:ascii="Times New Roman" w:hAnsi="Times New Roman" w:cs="Tahoma"/>
                <w:i/>
                <w:iCs/>
                <w:sz w:val="28"/>
                <w:szCs w:val="28"/>
                <w:lang w:val="uk-UA"/>
              </w:rPr>
            </w:pPr>
            <w:r w:rsidRPr="008C1635">
              <w:rPr>
                <w:rFonts w:ascii="Times New Roman" w:hAnsi="Times New Roman" w:cs="Tahoma"/>
                <w:i/>
                <w:iCs/>
                <w:sz w:val="28"/>
                <w:szCs w:val="28"/>
                <w:lang w:val="uk-UA"/>
              </w:rPr>
              <w:t>Регресійна статистика</w:t>
            </w:r>
          </w:p>
        </w:tc>
      </w:tr>
      <w:tr w:rsidR="00CE785D" w:rsidRPr="008C1635" w:rsidTr="008C1635">
        <w:trPr>
          <w:trHeight w:val="214"/>
        </w:trPr>
        <w:tc>
          <w:tcPr>
            <w:tcW w:w="5559" w:type="dxa"/>
            <w:shd w:val="clear" w:color="auto" w:fill="auto"/>
            <w:noWrap/>
            <w:hideMark/>
          </w:tcPr>
          <w:p w:rsidR="00CE785D" w:rsidRPr="008C1635" w:rsidRDefault="00CE785D" w:rsidP="008C1635">
            <w:pPr>
              <w:spacing w:after="0" w:line="240" w:lineRule="auto"/>
              <w:ind w:firstLine="709"/>
              <w:rPr>
                <w:rFonts w:ascii="Times New Roman" w:hAnsi="Times New Roman"/>
                <w:sz w:val="28"/>
                <w:szCs w:val="28"/>
                <w:lang w:val="uk-UA"/>
              </w:rPr>
            </w:pPr>
            <w:r w:rsidRPr="008C1635">
              <w:rPr>
                <w:rFonts w:ascii="Times New Roman" w:hAnsi="Times New Roman"/>
                <w:sz w:val="28"/>
                <w:szCs w:val="28"/>
                <w:lang w:val="uk-UA"/>
              </w:rPr>
              <w:t xml:space="preserve">Множинний </w:t>
            </w:r>
            <w:r w:rsidRPr="008C1635">
              <w:rPr>
                <w:rFonts w:ascii="Times New Roman" w:hAnsi="Times New Roman"/>
                <w:sz w:val="28"/>
                <w:szCs w:val="28"/>
                <w:lang w:val="ru-RU"/>
              </w:rPr>
              <w:t>R</w:t>
            </w:r>
          </w:p>
        </w:tc>
        <w:tc>
          <w:tcPr>
            <w:tcW w:w="3756" w:type="dxa"/>
            <w:shd w:val="clear" w:color="auto" w:fill="auto"/>
            <w:noWrap/>
            <w:hideMark/>
          </w:tcPr>
          <w:p w:rsidR="00CE785D" w:rsidRPr="008C1635" w:rsidRDefault="00CE785D" w:rsidP="008C1635">
            <w:pPr>
              <w:spacing w:after="0" w:line="240" w:lineRule="auto"/>
              <w:ind w:firstLine="709"/>
              <w:rPr>
                <w:rFonts w:ascii="Times New Roman" w:hAnsi="Times New Roman" w:cs="Tahoma"/>
                <w:sz w:val="28"/>
                <w:szCs w:val="28"/>
                <w:lang w:val="uk-UA"/>
              </w:rPr>
            </w:pPr>
            <w:r w:rsidRPr="008C1635">
              <w:rPr>
                <w:rFonts w:ascii="Times New Roman" w:hAnsi="Times New Roman" w:cs="Tahoma"/>
                <w:sz w:val="28"/>
                <w:szCs w:val="28"/>
                <w:lang w:val="uk-UA"/>
              </w:rPr>
              <w:t>0.90689</w:t>
            </w:r>
          </w:p>
        </w:tc>
      </w:tr>
      <w:tr w:rsidR="00CE785D" w:rsidRPr="008C1635" w:rsidTr="008C1635">
        <w:trPr>
          <w:trHeight w:val="214"/>
        </w:trPr>
        <w:tc>
          <w:tcPr>
            <w:tcW w:w="5559" w:type="dxa"/>
            <w:shd w:val="clear" w:color="auto" w:fill="auto"/>
            <w:noWrap/>
            <w:hideMark/>
          </w:tcPr>
          <w:p w:rsidR="00CE785D" w:rsidRPr="008C1635" w:rsidRDefault="00CE785D" w:rsidP="008C1635">
            <w:pPr>
              <w:spacing w:after="0" w:line="240" w:lineRule="auto"/>
              <w:ind w:firstLine="709"/>
              <w:rPr>
                <w:rFonts w:ascii="Times New Roman" w:hAnsi="Times New Roman"/>
                <w:sz w:val="28"/>
                <w:szCs w:val="28"/>
                <w:lang w:val="uk-UA"/>
              </w:rPr>
            </w:pPr>
            <w:r w:rsidRPr="008C1635">
              <w:rPr>
                <w:rFonts w:ascii="Times New Roman" w:hAnsi="Times New Roman"/>
                <w:sz w:val="28"/>
                <w:szCs w:val="28"/>
                <w:lang w:val="ru-RU"/>
              </w:rPr>
              <w:t>R</w:t>
            </w:r>
            <w:r w:rsidRPr="008C1635">
              <w:rPr>
                <w:rFonts w:ascii="Times New Roman" w:hAnsi="Times New Roman"/>
                <w:sz w:val="28"/>
                <w:szCs w:val="28"/>
                <w:lang w:val="uk-UA"/>
              </w:rPr>
              <w:t>-квадрат</w:t>
            </w:r>
          </w:p>
        </w:tc>
        <w:tc>
          <w:tcPr>
            <w:tcW w:w="3756" w:type="dxa"/>
            <w:shd w:val="clear" w:color="auto" w:fill="auto"/>
            <w:noWrap/>
            <w:hideMark/>
          </w:tcPr>
          <w:p w:rsidR="00CE785D" w:rsidRPr="008C1635" w:rsidRDefault="00CE785D" w:rsidP="008C1635">
            <w:pPr>
              <w:spacing w:after="0" w:line="240" w:lineRule="auto"/>
              <w:ind w:firstLine="709"/>
              <w:rPr>
                <w:rFonts w:ascii="Times New Roman" w:hAnsi="Times New Roman" w:cs="Tahoma"/>
                <w:sz w:val="28"/>
                <w:szCs w:val="28"/>
                <w:lang w:val="uk-UA"/>
              </w:rPr>
            </w:pPr>
            <w:r w:rsidRPr="008C1635">
              <w:rPr>
                <w:rFonts w:ascii="Times New Roman" w:hAnsi="Times New Roman" w:cs="Tahoma"/>
                <w:sz w:val="28"/>
                <w:szCs w:val="28"/>
                <w:lang w:val="uk-UA"/>
              </w:rPr>
              <w:t>0.82245</w:t>
            </w:r>
          </w:p>
        </w:tc>
      </w:tr>
      <w:tr w:rsidR="00CE785D" w:rsidRPr="008C1635" w:rsidTr="008C1635">
        <w:trPr>
          <w:trHeight w:val="214"/>
        </w:trPr>
        <w:tc>
          <w:tcPr>
            <w:tcW w:w="5559" w:type="dxa"/>
            <w:shd w:val="clear" w:color="auto" w:fill="auto"/>
            <w:noWrap/>
            <w:hideMark/>
          </w:tcPr>
          <w:p w:rsidR="00CE785D" w:rsidRPr="008C1635" w:rsidRDefault="00CE785D" w:rsidP="008C1635">
            <w:pPr>
              <w:spacing w:after="0" w:line="240" w:lineRule="auto"/>
              <w:ind w:firstLine="709"/>
              <w:rPr>
                <w:rFonts w:ascii="Times New Roman" w:hAnsi="Times New Roman"/>
                <w:sz w:val="28"/>
                <w:szCs w:val="28"/>
                <w:lang w:val="uk-UA"/>
              </w:rPr>
            </w:pPr>
            <w:r w:rsidRPr="008C1635">
              <w:rPr>
                <w:rFonts w:ascii="Times New Roman" w:hAnsi="Times New Roman"/>
                <w:sz w:val="28"/>
                <w:szCs w:val="28"/>
                <w:lang w:val="uk-UA"/>
              </w:rPr>
              <w:t xml:space="preserve">Нормований </w:t>
            </w:r>
            <w:r w:rsidRPr="008C1635">
              <w:rPr>
                <w:rFonts w:ascii="Times New Roman" w:hAnsi="Times New Roman"/>
                <w:sz w:val="28"/>
                <w:szCs w:val="28"/>
                <w:lang w:val="ru-RU"/>
              </w:rPr>
              <w:t>R</w:t>
            </w:r>
            <w:r w:rsidRPr="008C1635">
              <w:rPr>
                <w:rFonts w:ascii="Times New Roman" w:hAnsi="Times New Roman"/>
                <w:sz w:val="28"/>
                <w:szCs w:val="28"/>
                <w:lang w:val="uk-UA"/>
              </w:rPr>
              <w:t>-квадрат</w:t>
            </w:r>
          </w:p>
        </w:tc>
        <w:tc>
          <w:tcPr>
            <w:tcW w:w="3756" w:type="dxa"/>
            <w:shd w:val="clear" w:color="auto" w:fill="auto"/>
            <w:noWrap/>
            <w:hideMark/>
          </w:tcPr>
          <w:p w:rsidR="00CE785D" w:rsidRPr="008C1635" w:rsidRDefault="00CE785D" w:rsidP="008C1635">
            <w:pPr>
              <w:spacing w:after="0" w:line="240" w:lineRule="auto"/>
              <w:ind w:firstLine="709"/>
              <w:rPr>
                <w:rFonts w:ascii="Times New Roman" w:hAnsi="Times New Roman" w:cs="Tahoma"/>
                <w:sz w:val="28"/>
                <w:szCs w:val="28"/>
                <w:lang w:val="uk-UA"/>
              </w:rPr>
            </w:pPr>
            <w:r w:rsidRPr="008C1635">
              <w:rPr>
                <w:rFonts w:ascii="Times New Roman" w:hAnsi="Times New Roman" w:cs="Tahoma"/>
                <w:sz w:val="28"/>
                <w:szCs w:val="28"/>
                <w:lang w:val="uk-UA"/>
              </w:rPr>
              <w:t>0.818119</w:t>
            </w:r>
          </w:p>
        </w:tc>
      </w:tr>
      <w:tr w:rsidR="00CE785D" w:rsidRPr="008C1635" w:rsidTr="008C1635">
        <w:trPr>
          <w:trHeight w:val="214"/>
        </w:trPr>
        <w:tc>
          <w:tcPr>
            <w:tcW w:w="5559" w:type="dxa"/>
            <w:shd w:val="clear" w:color="auto" w:fill="auto"/>
            <w:noWrap/>
            <w:hideMark/>
          </w:tcPr>
          <w:p w:rsidR="00CE785D" w:rsidRPr="008C1635" w:rsidRDefault="00CE785D" w:rsidP="008C1635">
            <w:pPr>
              <w:spacing w:after="0" w:line="240" w:lineRule="auto"/>
              <w:ind w:firstLine="709"/>
              <w:rPr>
                <w:rFonts w:ascii="Times New Roman" w:hAnsi="Times New Roman"/>
                <w:sz w:val="28"/>
                <w:szCs w:val="28"/>
                <w:lang w:val="ru-RU"/>
              </w:rPr>
            </w:pPr>
            <w:r w:rsidRPr="008C1635">
              <w:rPr>
                <w:rFonts w:ascii="Times New Roman" w:hAnsi="Times New Roman"/>
                <w:sz w:val="28"/>
                <w:szCs w:val="28"/>
                <w:lang w:val="ru-RU"/>
              </w:rPr>
              <w:t>Стандартна помилка</w:t>
            </w:r>
          </w:p>
        </w:tc>
        <w:tc>
          <w:tcPr>
            <w:tcW w:w="3756" w:type="dxa"/>
            <w:shd w:val="clear" w:color="auto" w:fill="auto"/>
            <w:noWrap/>
            <w:hideMark/>
          </w:tcPr>
          <w:p w:rsidR="00CE785D" w:rsidRPr="008C1635" w:rsidRDefault="00CE785D" w:rsidP="008C1635">
            <w:pPr>
              <w:spacing w:after="0" w:line="240" w:lineRule="auto"/>
              <w:ind w:firstLine="709"/>
              <w:rPr>
                <w:rFonts w:ascii="Times New Roman" w:hAnsi="Times New Roman" w:cs="Tahoma"/>
                <w:sz w:val="28"/>
                <w:szCs w:val="28"/>
                <w:lang w:val="ru-RU"/>
              </w:rPr>
            </w:pPr>
            <w:r w:rsidRPr="008C1635">
              <w:rPr>
                <w:rFonts w:ascii="Times New Roman" w:hAnsi="Times New Roman" w:cs="Tahoma"/>
                <w:sz w:val="28"/>
                <w:szCs w:val="28"/>
                <w:lang w:val="ru-RU"/>
              </w:rPr>
              <w:t>0.19452</w:t>
            </w:r>
          </w:p>
        </w:tc>
      </w:tr>
      <w:tr w:rsidR="00CE785D" w:rsidRPr="008C1635" w:rsidTr="008C1635">
        <w:trPr>
          <w:trHeight w:val="226"/>
        </w:trPr>
        <w:tc>
          <w:tcPr>
            <w:tcW w:w="5559" w:type="dxa"/>
            <w:shd w:val="clear" w:color="auto" w:fill="auto"/>
            <w:noWrap/>
            <w:hideMark/>
          </w:tcPr>
          <w:p w:rsidR="00CE785D" w:rsidRPr="008C1635" w:rsidRDefault="00CE785D" w:rsidP="008C1635">
            <w:pPr>
              <w:spacing w:after="0" w:line="240" w:lineRule="auto"/>
              <w:ind w:firstLine="709"/>
              <w:rPr>
                <w:rFonts w:ascii="Times New Roman" w:hAnsi="Times New Roman"/>
                <w:sz w:val="28"/>
                <w:szCs w:val="28"/>
                <w:lang w:val="ru-RU"/>
              </w:rPr>
            </w:pPr>
            <w:r w:rsidRPr="008C1635">
              <w:rPr>
                <w:rFonts w:ascii="Times New Roman" w:hAnsi="Times New Roman"/>
                <w:sz w:val="28"/>
                <w:szCs w:val="28"/>
                <w:lang w:val="ru-RU"/>
              </w:rPr>
              <w:t>Спостереження</w:t>
            </w:r>
          </w:p>
        </w:tc>
        <w:tc>
          <w:tcPr>
            <w:tcW w:w="3756" w:type="dxa"/>
            <w:shd w:val="clear" w:color="auto" w:fill="auto"/>
            <w:noWrap/>
            <w:hideMark/>
          </w:tcPr>
          <w:p w:rsidR="00CE785D" w:rsidRPr="008C1635" w:rsidRDefault="00CE785D" w:rsidP="008C1635">
            <w:pPr>
              <w:spacing w:after="0" w:line="240" w:lineRule="auto"/>
              <w:ind w:firstLine="709"/>
              <w:rPr>
                <w:rFonts w:ascii="Times New Roman" w:hAnsi="Times New Roman" w:cs="Tahoma"/>
                <w:sz w:val="28"/>
                <w:szCs w:val="28"/>
                <w:lang w:val="ru-RU"/>
              </w:rPr>
            </w:pPr>
            <w:r w:rsidRPr="008C1635">
              <w:rPr>
                <w:rFonts w:ascii="Times New Roman" w:hAnsi="Times New Roman" w:cs="Tahoma"/>
                <w:sz w:val="28"/>
                <w:szCs w:val="28"/>
                <w:lang w:val="ru-RU"/>
              </w:rPr>
              <w:t>76</w:t>
            </w:r>
          </w:p>
        </w:tc>
      </w:tr>
    </w:tbl>
    <w:p w:rsidR="00CE785D" w:rsidRPr="00DD39D0" w:rsidRDefault="00CE785D" w:rsidP="00CE785D">
      <w:pPr>
        <w:spacing w:after="0" w:line="240" w:lineRule="auto"/>
        <w:rPr>
          <w:rFonts w:ascii="Times New Roman" w:hAnsi="Times New Roman"/>
          <w:sz w:val="28"/>
          <w:szCs w:val="28"/>
          <w:lang w:val="ru-RU"/>
        </w:rPr>
      </w:pPr>
    </w:p>
    <w:p w:rsidR="00CE785D" w:rsidRPr="00DD39D0" w:rsidRDefault="00CE785D" w:rsidP="00CE785D">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Коефіцієнт детермінації </w:t>
      </w:r>
      <w:r w:rsidRPr="00DD39D0">
        <w:rPr>
          <w:rFonts w:ascii="Times New Roman" w:hAnsi="Times New Roman"/>
          <w:sz w:val="28"/>
          <w:szCs w:val="28"/>
        </w:rPr>
        <w:t>R</w:t>
      </w:r>
      <w:r w:rsidRPr="00DD39D0">
        <w:rPr>
          <w:rFonts w:ascii="Times New Roman" w:hAnsi="Times New Roman"/>
          <w:sz w:val="28"/>
          <w:szCs w:val="28"/>
          <w:lang w:val="uk-UA"/>
        </w:rPr>
        <w:t xml:space="preserve">-квадрат дорівнював 0,82, що робить можливим використання результатів регресійного аналізу та прогнозу за допомогою рівняння регресії. </w:t>
      </w:r>
      <w:r w:rsidR="00417A34" w:rsidRPr="00DD39D0">
        <w:rPr>
          <w:rFonts w:ascii="Times New Roman" w:hAnsi="Times New Roman"/>
          <w:sz w:val="28"/>
          <w:szCs w:val="28"/>
          <w:lang w:val="uk-UA"/>
        </w:rPr>
        <w:t xml:space="preserve">У зв’язку з високою інформативністю даного параметру, імуноглобулін </w:t>
      </w:r>
      <w:r w:rsidR="00417A34" w:rsidRPr="00DD39D0">
        <w:rPr>
          <w:rFonts w:ascii="Times New Roman" w:hAnsi="Times New Roman"/>
          <w:sz w:val="28"/>
          <w:szCs w:val="28"/>
        </w:rPr>
        <w:t>G</w:t>
      </w:r>
      <w:r w:rsidR="00417A34" w:rsidRPr="00DD39D0">
        <w:rPr>
          <w:rFonts w:ascii="Times New Roman" w:hAnsi="Times New Roman"/>
          <w:sz w:val="28"/>
          <w:szCs w:val="28"/>
          <w:lang w:val="ru-RU"/>
        </w:rPr>
        <w:t xml:space="preserve"> </w:t>
      </w:r>
      <w:r w:rsidR="00417A34" w:rsidRPr="00DD39D0">
        <w:rPr>
          <w:rFonts w:ascii="Times New Roman" w:hAnsi="Times New Roman"/>
          <w:sz w:val="28"/>
          <w:szCs w:val="28"/>
          <w:lang w:val="uk-UA"/>
        </w:rPr>
        <w:t>може бути рекомендований як діагностичний біомаркер стану тканин пародонту у дітей з атопічними захворюваннями.</w:t>
      </w:r>
    </w:p>
    <w:p w:rsidR="00CE785D" w:rsidRPr="00DD39D0" w:rsidRDefault="007608DF" w:rsidP="007F028B">
      <w:pPr>
        <w:spacing w:after="120" w:line="240" w:lineRule="auto"/>
        <w:ind w:firstLine="709"/>
        <w:jc w:val="right"/>
        <w:rPr>
          <w:rFonts w:ascii="Times New Roman" w:hAnsi="Times New Roman"/>
          <w:i/>
          <w:sz w:val="28"/>
          <w:szCs w:val="28"/>
          <w:lang w:val="uk-UA"/>
        </w:rPr>
      </w:pPr>
      <w:r>
        <w:rPr>
          <w:rFonts w:ascii="Times New Roman" w:hAnsi="Times New Roman"/>
          <w:i/>
          <w:sz w:val="28"/>
          <w:szCs w:val="28"/>
          <w:lang w:val="uk-UA"/>
        </w:rPr>
        <w:t>Таблиця 9</w:t>
      </w:r>
    </w:p>
    <w:p w:rsidR="00CE785D" w:rsidRPr="0047086B" w:rsidRDefault="00CE785D" w:rsidP="007F028B">
      <w:pPr>
        <w:spacing w:after="120" w:line="240" w:lineRule="auto"/>
        <w:ind w:firstLine="709"/>
        <w:jc w:val="center"/>
        <w:rPr>
          <w:rFonts w:ascii="Times New Roman" w:hAnsi="Times New Roman"/>
          <w:b/>
          <w:sz w:val="28"/>
          <w:szCs w:val="28"/>
          <w:lang w:val="uk-UA"/>
        </w:rPr>
      </w:pPr>
      <w:r w:rsidRPr="0047086B">
        <w:rPr>
          <w:rFonts w:ascii="Times New Roman" w:hAnsi="Times New Roman"/>
          <w:b/>
          <w:sz w:val="28"/>
          <w:szCs w:val="28"/>
          <w:lang w:val="uk-UA"/>
        </w:rPr>
        <w:t>Визначення коефіцієнтів регресійної статистики</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54"/>
        <w:gridCol w:w="2021"/>
        <w:gridCol w:w="1859"/>
        <w:gridCol w:w="1365"/>
      </w:tblGrid>
      <w:tr w:rsidR="00CC3479" w:rsidRPr="008C1635" w:rsidTr="008C1635">
        <w:trPr>
          <w:trHeight w:val="249"/>
        </w:trPr>
        <w:tc>
          <w:tcPr>
            <w:tcW w:w="1785" w:type="dxa"/>
            <w:shd w:val="clear" w:color="auto" w:fill="auto"/>
            <w:noWrap/>
            <w:hideMark/>
          </w:tcPr>
          <w:p w:rsidR="00CE785D" w:rsidRPr="008C1635" w:rsidRDefault="00CE785D" w:rsidP="008C1635">
            <w:pPr>
              <w:spacing w:after="0" w:line="240" w:lineRule="auto"/>
              <w:jc w:val="center"/>
              <w:rPr>
                <w:rFonts w:ascii="Times New Roman" w:eastAsia="Times New Roman" w:hAnsi="Times New Roman" w:cs="Tahoma"/>
                <w:i/>
                <w:iCs/>
                <w:sz w:val="28"/>
                <w:szCs w:val="28"/>
                <w:lang w:val="ru-RU"/>
              </w:rPr>
            </w:pPr>
            <w:r w:rsidRPr="008C1635">
              <w:rPr>
                <w:rFonts w:ascii="Times New Roman" w:eastAsia="Times New Roman" w:hAnsi="Times New Roman" w:cs="Tahoma"/>
                <w:i/>
                <w:iCs/>
                <w:sz w:val="28"/>
                <w:szCs w:val="28"/>
                <w:lang w:val="ru-RU"/>
              </w:rPr>
              <w:t> </w:t>
            </w:r>
          </w:p>
        </w:tc>
        <w:tc>
          <w:tcPr>
            <w:tcW w:w="2254" w:type="dxa"/>
            <w:shd w:val="clear" w:color="auto" w:fill="auto"/>
            <w:noWrap/>
            <w:hideMark/>
          </w:tcPr>
          <w:p w:rsidR="00CE785D" w:rsidRPr="008C1635" w:rsidRDefault="00CE785D" w:rsidP="008C1635">
            <w:pPr>
              <w:spacing w:after="0" w:line="240" w:lineRule="auto"/>
              <w:rPr>
                <w:rFonts w:ascii="Times New Roman" w:hAnsi="Times New Roman"/>
                <w:i/>
                <w:iCs/>
                <w:sz w:val="28"/>
                <w:szCs w:val="28"/>
                <w:lang w:val="uk-UA"/>
              </w:rPr>
            </w:pPr>
            <w:r w:rsidRPr="008C1635">
              <w:rPr>
                <w:rFonts w:ascii="Times New Roman" w:hAnsi="Times New Roman"/>
                <w:i/>
                <w:iCs/>
                <w:sz w:val="28"/>
                <w:szCs w:val="28"/>
                <w:lang w:val="uk-UA"/>
              </w:rPr>
              <w:t>Коефіцієнти</w:t>
            </w:r>
          </w:p>
        </w:tc>
        <w:tc>
          <w:tcPr>
            <w:tcW w:w="2021" w:type="dxa"/>
            <w:shd w:val="clear" w:color="auto" w:fill="auto"/>
            <w:noWrap/>
            <w:hideMark/>
          </w:tcPr>
          <w:p w:rsidR="00CE785D" w:rsidRPr="008C1635" w:rsidRDefault="00CE785D" w:rsidP="008C1635">
            <w:pPr>
              <w:spacing w:after="0" w:line="240" w:lineRule="auto"/>
              <w:rPr>
                <w:rFonts w:ascii="Times New Roman" w:hAnsi="Times New Roman"/>
                <w:i/>
                <w:iCs/>
                <w:sz w:val="28"/>
                <w:szCs w:val="28"/>
                <w:lang w:val="uk-UA"/>
              </w:rPr>
            </w:pPr>
            <w:r w:rsidRPr="008C1635">
              <w:rPr>
                <w:rFonts w:ascii="Times New Roman" w:hAnsi="Times New Roman"/>
                <w:i/>
                <w:iCs/>
                <w:sz w:val="28"/>
                <w:szCs w:val="28"/>
                <w:lang w:val="uk-UA"/>
              </w:rPr>
              <w:t>Стандартна помилка</w:t>
            </w:r>
          </w:p>
        </w:tc>
        <w:tc>
          <w:tcPr>
            <w:tcW w:w="1859" w:type="dxa"/>
            <w:shd w:val="clear" w:color="auto" w:fill="auto"/>
            <w:noWrap/>
            <w:hideMark/>
          </w:tcPr>
          <w:p w:rsidR="00CE785D" w:rsidRPr="008C1635" w:rsidRDefault="00CE785D" w:rsidP="008C1635">
            <w:pPr>
              <w:spacing w:after="0" w:line="240" w:lineRule="auto"/>
              <w:ind w:firstLine="709"/>
              <w:rPr>
                <w:rFonts w:ascii="Times New Roman" w:hAnsi="Times New Roman"/>
                <w:i/>
                <w:iCs/>
                <w:sz w:val="28"/>
                <w:szCs w:val="28"/>
                <w:lang w:val="ru-RU"/>
              </w:rPr>
            </w:pPr>
            <w:r w:rsidRPr="008C1635">
              <w:rPr>
                <w:rFonts w:ascii="Times New Roman" w:hAnsi="Times New Roman"/>
                <w:i/>
                <w:iCs/>
                <w:sz w:val="28"/>
                <w:szCs w:val="28"/>
                <w:lang w:val="ru-RU"/>
              </w:rPr>
              <w:t>t-статистика</w:t>
            </w:r>
          </w:p>
        </w:tc>
        <w:tc>
          <w:tcPr>
            <w:tcW w:w="1365" w:type="dxa"/>
            <w:shd w:val="clear" w:color="auto" w:fill="auto"/>
            <w:noWrap/>
            <w:hideMark/>
          </w:tcPr>
          <w:p w:rsidR="00CE785D" w:rsidRPr="008C1635" w:rsidRDefault="00CE785D" w:rsidP="008C1635">
            <w:pPr>
              <w:spacing w:after="0" w:line="240" w:lineRule="auto"/>
              <w:ind w:firstLine="709"/>
              <w:rPr>
                <w:rFonts w:ascii="Times New Roman" w:hAnsi="Times New Roman"/>
                <w:i/>
                <w:iCs/>
                <w:sz w:val="28"/>
                <w:szCs w:val="28"/>
                <w:lang w:val="uk-UA"/>
              </w:rPr>
            </w:pPr>
            <w:r w:rsidRPr="008C1635">
              <w:rPr>
                <w:rFonts w:ascii="Times New Roman" w:hAnsi="Times New Roman"/>
                <w:i/>
                <w:iCs/>
                <w:sz w:val="28"/>
                <w:szCs w:val="28"/>
                <w:lang w:val="ru-RU"/>
              </w:rPr>
              <w:t>P-</w:t>
            </w:r>
            <w:r w:rsidRPr="008C1635">
              <w:rPr>
                <w:rFonts w:ascii="Times New Roman" w:hAnsi="Times New Roman"/>
                <w:i/>
                <w:iCs/>
                <w:sz w:val="28"/>
                <w:szCs w:val="28"/>
                <w:lang w:val="uk-UA"/>
              </w:rPr>
              <w:t>значення</w:t>
            </w:r>
          </w:p>
        </w:tc>
      </w:tr>
      <w:tr w:rsidR="00CC3479" w:rsidRPr="008C1635" w:rsidTr="008C1635">
        <w:trPr>
          <w:trHeight w:val="249"/>
        </w:trPr>
        <w:tc>
          <w:tcPr>
            <w:tcW w:w="1785" w:type="dxa"/>
            <w:shd w:val="clear" w:color="auto" w:fill="auto"/>
            <w:noWrap/>
            <w:hideMark/>
          </w:tcPr>
          <w:p w:rsidR="00CE785D" w:rsidRPr="008C1635" w:rsidRDefault="00CE785D" w:rsidP="008C1635">
            <w:pPr>
              <w:spacing w:after="0" w:line="240" w:lineRule="auto"/>
              <w:rPr>
                <w:rFonts w:ascii="Times New Roman" w:hAnsi="Times New Roman"/>
                <w:sz w:val="28"/>
                <w:szCs w:val="28"/>
                <w:lang w:val="ru-RU"/>
              </w:rPr>
            </w:pPr>
            <w:r w:rsidRPr="008C1635">
              <w:rPr>
                <w:rFonts w:ascii="Times New Roman" w:hAnsi="Times New Roman"/>
                <w:sz w:val="28"/>
                <w:szCs w:val="28"/>
                <w:lang w:val="ru-RU"/>
              </w:rPr>
              <w:t>Y-пересічення</w:t>
            </w:r>
          </w:p>
        </w:tc>
        <w:tc>
          <w:tcPr>
            <w:tcW w:w="2254" w:type="dxa"/>
            <w:shd w:val="clear" w:color="auto" w:fill="auto"/>
            <w:noWrap/>
            <w:hideMark/>
          </w:tcPr>
          <w:p w:rsidR="00CE785D" w:rsidRPr="008C1635" w:rsidRDefault="00CE785D" w:rsidP="008C1635">
            <w:pPr>
              <w:spacing w:after="0" w:line="240" w:lineRule="auto"/>
              <w:rPr>
                <w:rFonts w:ascii="Times New Roman" w:eastAsia="Times New Roman" w:hAnsi="Times New Roman" w:cs="Tahoma"/>
                <w:sz w:val="28"/>
                <w:szCs w:val="28"/>
                <w:lang w:val="ru-RU"/>
              </w:rPr>
            </w:pPr>
            <w:r w:rsidRPr="008C1635">
              <w:rPr>
                <w:rFonts w:ascii="Times New Roman" w:eastAsia="Times New Roman" w:hAnsi="Times New Roman" w:cs="Tahoma"/>
                <w:sz w:val="28"/>
                <w:szCs w:val="28"/>
                <w:lang w:val="ru-RU"/>
              </w:rPr>
              <w:t>-0.32473</w:t>
            </w:r>
          </w:p>
        </w:tc>
        <w:tc>
          <w:tcPr>
            <w:tcW w:w="2021" w:type="dxa"/>
            <w:shd w:val="clear" w:color="auto" w:fill="auto"/>
            <w:noWrap/>
            <w:hideMark/>
          </w:tcPr>
          <w:p w:rsidR="00CE785D" w:rsidRPr="008C1635" w:rsidRDefault="00CE785D" w:rsidP="008C1635">
            <w:pPr>
              <w:spacing w:after="0" w:line="240" w:lineRule="auto"/>
              <w:rPr>
                <w:rFonts w:ascii="Times New Roman" w:eastAsia="Times New Roman" w:hAnsi="Times New Roman" w:cs="Tahoma"/>
                <w:sz w:val="28"/>
                <w:szCs w:val="28"/>
                <w:lang w:val="ru-RU"/>
              </w:rPr>
            </w:pPr>
            <w:r w:rsidRPr="008C1635">
              <w:rPr>
                <w:rFonts w:ascii="Times New Roman" w:eastAsia="Times New Roman" w:hAnsi="Times New Roman" w:cs="Tahoma"/>
                <w:sz w:val="28"/>
                <w:szCs w:val="28"/>
                <w:lang w:val="ru-RU"/>
              </w:rPr>
              <w:t>0.24433</w:t>
            </w:r>
          </w:p>
        </w:tc>
        <w:tc>
          <w:tcPr>
            <w:tcW w:w="1859" w:type="dxa"/>
            <w:shd w:val="clear" w:color="auto" w:fill="auto"/>
            <w:noWrap/>
            <w:hideMark/>
          </w:tcPr>
          <w:p w:rsidR="00CE785D" w:rsidRPr="008C1635" w:rsidRDefault="00CE785D" w:rsidP="008C1635">
            <w:pPr>
              <w:spacing w:after="0" w:line="240" w:lineRule="auto"/>
              <w:rPr>
                <w:rFonts w:ascii="Times New Roman" w:eastAsia="Times New Roman" w:hAnsi="Times New Roman" w:cs="Tahoma"/>
                <w:sz w:val="28"/>
                <w:szCs w:val="28"/>
                <w:lang w:val="ru-RU"/>
              </w:rPr>
            </w:pPr>
            <w:r w:rsidRPr="008C1635">
              <w:rPr>
                <w:rFonts w:ascii="Times New Roman" w:eastAsia="Times New Roman" w:hAnsi="Times New Roman" w:cs="Tahoma"/>
                <w:sz w:val="28"/>
                <w:szCs w:val="28"/>
                <w:lang w:val="ru-RU"/>
              </w:rPr>
              <w:t>-1.32906</w:t>
            </w:r>
          </w:p>
        </w:tc>
        <w:tc>
          <w:tcPr>
            <w:tcW w:w="1365" w:type="dxa"/>
            <w:shd w:val="clear" w:color="auto" w:fill="auto"/>
            <w:noWrap/>
            <w:hideMark/>
          </w:tcPr>
          <w:p w:rsidR="00CE785D" w:rsidRPr="008C1635" w:rsidRDefault="00CE785D" w:rsidP="008C1635">
            <w:pPr>
              <w:spacing w:after="0" w:line="240" w:lineRule="auto"/>
              <w:jc w:val="right"/>
              <w:rPr>
                <w:rFonts w:ascii="Times New Roman" w:eastAsia="Times New Roman" w:hAnsi="Times New Roman" w:cs="Tahoma"/>
                <w:sz w:val="28"/>
                <w:szCs w:val="28"/>
                <w:lang w:val="ru-RU"/>
              </w:rPr>
            </w:pPr>
            <w:r w:rsidRPr="008C1635">
              <w:rPr>
                <w:rFonts w:ascii="Times New Roman" w:eastAsia="Times New Roman" w:hAnsi="Times New Roman" w:cs="Tahoma"/>
                <w:sz w:val="28"/>
                <w:szCs w:val="28"/>
                <w:lang w:val="ru-RU"/>
              </w:rPr>
              <w:t>0.191177</w:t>
            </w:r>
          </w:p>
        </w:tc>
      </w:tr>
      <w:tr w:rsidR="00CC3479" w:rsidRPr="008C1635" w:rsidTr="008C1635">
        <w:trPr>
          <w:trHeight w:val="264"/>
        </w:trPr>
        <w:tc>
          <w:tcPr>
            <w:tcW w:w="1785" w:type="dxa"/>
            <w:shd w:val="clear" w:color="auto" w:fill="auto"/>
            <w:noWrap/>
            <w:hideMark/>
          </w:tcPr>
          <w:p w:rsidR="00CE785D" w:rsidRPr="008C1635" w:rsidRDefault="00CE785D" w:rsidP="008C1635">
            <w:pPr>
              <w:spacing w:after="0" w:line="240" w:lineRule="auto"/>
              <w:rPr>
                <w:rFonts w:ascii="Times New Roman" w:hAnsi="Times New Roman"/>
                <w:sz w:val="28"/>
                <w:szCs w:val="28"/>
                <w:lang w:val="ru-RU"/>
              </w:rPr>
            </w:pPr>
            <w:r w:rsidRPr="008C1635">
              <w:rPr>
                <w:rFonts w:ascii="Times New Roman" w:hAnsi="Times New Roman"/>
                <w:sz w:val="28"/>
                <w:szCs w:val="28"/>
                <w:lang w:val="uk-UA"/>
              </w:rPr>
              <w:t>Змінна</w:t>
            </w:r>
            <w:r w:rsidRPr="008C1635">
              <w:rPr>
                <w:rFonts w:ascii="Times New Roman" w:hAnsi="Times New Roman"/>
                <w:sz w:val="28"/>
                <w:szCs w:val="28"/>
                <w:lang w:val="ru-RU"/>
              </w:rPr>
              <w:t xml:space="preserve"> X 1</w:t>
            </w:r>
          </w:p>
        </w:tc>
        <w:tc>
          <w:tcPr>
            <w:tcW w:w="2254" w:type="dxa"/>
            <w:shd w:val="clear" w:color="auto" w:fill="auto"/>
            <w:noWrap/>
            <w:hideMark/>
          </w:tcPr>
          <w:p w:rsidR="00CE785D" w:rsidRPr="008C1635" w:rsidRDefault="00CE785D" w:rsidP="008C1635">
            <w:pPr>
              <w:spacing w:after="0" w:line="240" w:lineRule="auto"/>
              <w:rPr>
                <w:rFonts w:ascii="Times New Roman" w:eastAsia="Times New Roman" w:hAnsi="Times New Roman" w:cs="Tahoma"/>
                <w:sz w:val="28"/>
                <w:szCs w:val="28"/>
                <w:lang w:val="ru-RU"/>
              </w:rPr>
            </w:pPr>
            <w:r w:rsidRPr="008C1635">
              <w:rPr>
                <w:rFonts w:ascii="Times New Roman" w:eastAsia="Times New Roman" w:hAnsi="Times New Roman" w:cs="Tahoma"/>
                <w:sz w:val="28"/>
                <w:szCs w:val="28"/>
                <w:lang w:val="ru-RU"/>
              </w:rPr>
              <w:t>0.980734</w:t>
            </w:r>
          </w:p>
        </w:tc>
        <w:tc>
          <w:tcPr>
            <w:tcW w:w="2021" w:type="dxa"/>
            <w:shd w:val="clear" w:color="auto" w:fill="auto"/>
            <w:noWrap/>
            <w:hideMark/>
          </w:tcPr>
          <w:p w:rsidR="00CE785D" w:rsidRPr="008C1635" w:rsidRDefault="00CE785D" w:rsidP="008C1635">
            <w:pPr>
              <w:spacing w:after="0" w:line="240" w:lineRule="auto"/>
              <w:rPr>
                <w:rFonts w:ascii="Times New Roman" w:eastAsia="Times New Roman" w:hAnsi="Times New Roman" w:cs="Tahoma"/>
                <w:sz w:val="28"/>
                <w:szCs w:val="28"/>
                <w:lang w:val="ru-RU"/>
              </w:rPr>
            </w:pPr>
            <w:r w:rsidRPr="008C1635">
              <w:rPr>
                <w:rFonts w:ascii="Times New Roman" w:eastAsia="Times New Roman" w:hAnsi="Times New Roman" w:cs="Tahoma"/>
                <w:sz w:val="28"/>
                <w:szCs w:val="28"/>
                <w:lang w:val="ru-RU"/>
              </w:rPr>
              <w:t>0.071165</w:t>
            </w:r>
          </w:p>
        </w:tc>
        <w:tc>
          <w:tcPr>
            <w:tcW w:w="1859" w:type="dxa"/>
            <w:shd w:val="clear" w:color="auto" w:fill="auto"/>
            <w:noWrap/>
            <w:hideMark/>
          </w:tcPr>
          <w:p w:rsidR="00CE785D" w:rsidRPr="008C1635" w:rsidRDefault="00CE785D" w:rsidP="008C1635">
            <w:pPr>
              <w:spacing w:after="0" w:line="240" w:lineRule="auto"/>
              <w:rPr>
                <w:rFonts w:ascii="Times New Roman" w:eastAsia="Times New Roman" w:hAnsi="Times New Roman" w:cs="Tahoma"/>
                <w:sz w:val="28"/>
                <w:szCs w:val="28"/>
                <w:lang w:val="ru-RU"/>
              </w:rPr>
            </w:pPr>
            <w:r w:rsidRPr="008C1635">
              <w:rPr>
                <w:rFonts w:ascii="Times New Roman" w:eastAsia="Times New Roman" w:hAnsi="Times New Roman" w:cs="Tahoma"/>
                <w:sz w:val="28"/>
                <w:szCs w:val="28"/>
                <w:lang w:val="ru-RU"/>
              </w:rPr>
              <w:t>13.78116</w:t>
            </w:r>
          </w:p>
        </w:tc>
        <w:tc>
          <w:tcPr>
            <w:tcW w:w="1365" w:type="dxa"/>
            <w:shd w:val="clear" w:color="auto" w:fill="auto"/>
            <w:noWrap/>
            <w:hideMark/>
          </w:tcPr>
          <w:p w:rsidR="00CE785D" w:rsidRPr="008C1635" w:rsidRDefault="00CE785D" w:rsidP="008C1635">
            <w:pPr>
              <w:spacing w:after="0" w:line="240" w:lineRule="auto"/>
              <w:jc w:val="right"/>
              <w:rPr>
                <w:rFonts w:ascii="Times New Roman" w:eastAsia="Times New Roman" w:hAnsi="Times New Roman" w:cs="Tahoma"/>
                <w:sz w:val="28"/>
                <w:szCs w:val="28"/>
                <w:lang w:val="ru-RU"/>
              </w:rPr>
            </w:pPr>
            <w:r w:rsidRPr="008C1635">
              <w:rPr>
                <w:rFonts w:ascii="Times New Roman" w:eastAsia="Times New Roman" w:hAnsi="Times New Roman" w:cs="Tahoma"/>
                <w:sz w:val="28"/>
                <w:szCs w:val="28"/>
                <w:lang w:val="ru-RU"/>
              </w:rPr>
              <w:t>5.55E-17</w:t>
            </w:r>
          </w:p>
        </w:tc>
      </w:tr>
    </w:tbl>
    <w:p w:rsidR="00CE785D" w:rsidRPr="00DD39D0" w:rsidRDefault="00CE785D" w:rsidP="00CE785D">
      <w:pPr>
        <w:spacing w:after="0" w:line="240" w:lineRule="auto"/>
        <w:ind w:firstLine="709"/>
        <w:rPr>
          <w:rFonts w:ascii="Times New Roman" w:hAnsi="Times New Roman"/>
          <w:sz w:val="28"/>
          <w:szCs w:val="28"/>
          <w:lang w:val="ru-RU"/>
        </w:rPr>
      </w:pPr>
    </w:p>
    <w:p w:rsidR="004D4BC2" w:rsidRPr="00DD39D0" w:rsidRDefault="00CE785D" w:rsidP="00CE785D">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ru-RU"/>
        </w:rPr>
        <w:lastRenderedPageBreak/>
        <w:t>Зг</w:t>
      </w:r>
      <w:r w:rsidRPr="00DD39D0">
        <w:rPr>
          <w:rFonts w:ascii="Times New Roman" w:hAnsi="Times New Roman"/>
          <w:sz w:val="28"/>
          <w:szCs w:val="28"/>
          <w:lang w:val="uk-UA"/>
        </w:rPr>
        <w:t xml:space="preserve">ідно з отриманими результатами застосування регресійного аналізу даних кровоточивості ясен за рівнем індексу </w:t>
      </w:r>
      <w:r w:rsidRPr="00DD39D0">
        <w:rPr>
          <w:rFonts w:ascii="Times New Roman" w:hAnsi="Times New Roman"/>
          <w:sz w:val="28"/>
          <w:szCs w:val="28"/>
        </w:rPr>
        <w:t>SBI</w:t>
      </w:r>
      <w:r w:rsidRPr="00DD39D0">
        <w:rPr>
          <w:rFonts w:ascii="Times New Roman" w:hAnsi="Times New Roman"/>
          <w:sz w:val="28"/>
          <w:szCs w:val="28"/>
          <w:lang w:val="ru-RU"/>
        </w:rPr>
        <w:t xml:space="preserve"> </w:t>
      </w:r>
      <w:r w:rsidRPr="00DD39D0">
        <w:rPr>
          <w:rFonts w:ascii="Times New Roman" w:hAnsi="Times New Roman"/>
          <w:sz w:val="28"/>
          <w:szCs w:val="28"/>
          <w:lang w:val="uk-UA"/>
        </w:rPr>
        <w:t xml:space="preserve">та імунологічного статусу за рівнем імуноглобуліну </w:t>
      </w:r>
      <w:r w:rsidRPr="00DD39D0">
        <w:rPr>
          <w:rFonts w:ascii="Times New Roman" w:hAnsi="Times New Roman"/>
          <w:sz w:val="28"/>
          <w:szCs w:val="28"/>
        </w:rPr>
        <w:t>G</w:t>
      </w:r>
      <w:r w:rsidRPr="00DD39D0">
        <w:rPr>
          <w:rFonts w:ascii="Times New Roman" w:hAnsi="Times New Roman"/>
          <w:sz w:val="28"/>
          <w:szCs w:val="28"/>
          <w:lang w:val="ru-RU"/>
        </w:rPr>
        <w:t xml:space="preserve"> </w:t>
      </w:r>
      <w:r w:rsidRPr="00DD39D0">
        <w:rPr>
          <w:rFonts w:ascii="Times New Roman" w:hAnsi="Times New Roman"/>
          <w:sz w:val="28"/>
          <w:szCs w:val="28"/>
          <w:lang w:val="uk-UA"/>
        </w:rPr>
        <w:t xml:space="preserve">виявлений міцний кореляційний зв’язок між даними показниками. Побудована залежність показників запалення тканин пародонту згідно з індексом </w:t>
      </w:r>
      <w:r w:rsidRPr="00DD39D0">
        <w:rPr>
          <w:rFonts w:ascii="Times New Roman" w:hAnsi="Times New Roman"/>
          <w:sz w:val="28"/>
          <w:szCs w:val="28"/>
        </w:rPr>
        <w:t>SBI</w:t>
      </w:r>
      <w:r w:rsidRPr="00DD39D0">
        <w:rPr>
          <w:rFonts w:ascii="Times New Roman" w:hAnsi="Times New Roman"/>
          <w:sz w:val="28"/>
          <w:szCs w:val="28"/>
          <w:lang w:val="uk-UA"/>
        </w:rPr>
        <w:t xml:space="preserve"> та імуноглобуліна </w:t>
      </w:r>
      <w:r w:rsidRPr="00DD39D0">
        <w:rPr>
          <w:rFonts w:ascii="Times New Roman" w:hAnsi="Times New Roman"/>
          <w:sz w:val="28"/>
          <w:szCs w:val="28"/>
        </w:rPr>
        <w:t>G</w:t>
      </w:r>
      <w:r w:rsidRPr="00DD39D0">
        <w:rPr>
          <w:rFonts w:ascii="Times New Roman" w:hAnsi="Times New Roman"/>
          <w:sz w:val="28"/>
          <w:szCs w:val="28"/>
          <w:lang w:val="uk-UA"/>
        </w:rPr>
        <w:t xml:space="preserve"> у вигляді лінійної регресії. Визначені коефіцієнти лінійної регресії мінус 0,32 та 0,98. Для оцінки загальної якості отриманого рівняння лінійної регресії був застосований коефіцієнт детермінації, який дорівнював 82 %. Таким чином, оскільки функція регресії визначена, інтерпретована та обґрунтована, а оцінка якості рівняння регресії відповідає вимогам, </w:t>
      </w:r>
      <w:r w:rsidR="00070397">
        <w:rPr>
          <w:rFonts w:ascii="Times New Roman" w:hAnsi="Times New Roman"/>
          <w:sz w:val="28"/>
          <w:szCs w:val="28"/>
          <w:lang w:val="uk-UA"/>
        </w:rPr>
        <w:t>побудована модель та</w:t>
      </w:r>
      <w:r w:rsidRPr="00DD39D0">
        <w:rPr>
          <w:rFonts w:ascii="Times New Roman" w:hAnsi="Times New Roman"/>
          <w:sz w:val="28"/>
          <w:szCs w:val="28"/>
          <w:lang w:val="uk-UA"/>
        </w:rPr>
        <w:t xml:space="preserve"> </w:t>
      </w:r>
      <w:r w:rsidR="00070397">
        <w:rPr>
          <w:rFonts w:ascii="Times New Roman" w:hAnsi="Times New Roman"/>
          <w:sz w:val="28"/>
          <w:szCs w:val="28"/>
          <w:lang w:val="uk-UA"/>
        </w:rPr>
        <w:t xml:space="preserve">прогностичні </w:t>
      </w:r>
      <w:r w:rsidRPr="00DD39D0">
        <w:rPr>
          <w:rFonts w:ascii="Times New Roman" w:hAnsi="Times New Roman"/>
          <w:sz w:val="28"/>
          <w:szCs w:val="28"/>
          <w:lang w:val="uk-UA"/>
        </w:rPr>
        <w:t xml:space="preserve">значення </w:t>
      </w:r>
      <w:r w:rsidR="00070397">
        <w:rPr>
          <w:rFonts w:ascii="Times New Roman" w:hAnsi="Times New Roman"/>
          <w:sz w:val="28"/>
          <w:szCs w:val="28"/>
          <w:lang w:val="uk-UA"/>
        </w:rPr>
        <w:t>можуть бути використані для характеристики та прогнозу запалення ясен у пацієнтів з атопією</w:t>
      </w:r>
      <w:r w:rsidRPr="00DD39D0">
        <w:rPr>
          <w:rFonts w:ascii="Times New Roman" w:hAnsi="Times New Roman"/>
          <w:sz w:val="28"/>
          <w:szCs w:val="28"/>
          <w:lang w:val="uk-UA"/>
        </w:rPr>
        <w:t>.</w:t>
      </w:r>
    </w:p>
    <w:p w:rsidR="00E336FE" w:rsidRPr="00DD39D0" w:rsidRDefault="00DB778B" w:rsidP="00102DB5">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Крім показників імунного системи, ми проаналізували залежність стану тканин пародонту від показників антиоксидантного статусу. Найбільш інформативним з даної групи біомаркерів виявився рівень відновленого глутатіону, визначеного у ротовій рі</w:t>
      </w:r>
      <w:r w:rsidR="00070397">
        <w:rPr>
          <w:rFonts w:ascii="Times New Roman" w:hAnsi="Times New Roman"/>
          <w:sz w:val="28"/>
          <w:szCs w:val="28"/>
          <w:lang w:val="uk-UA"/>
        </w:rPr>
        <w:t>дині. Згідно з отриманими результатами</w:t>
      </w:r>
      <w:r w:rsidRPr="00DD39D0">
        <w:rPr>
          <w:rFonts w:ascii="Times New Roman" w:hAnsi="Times New Roman"/>
          <w:sz w:val="28"/>
          <w:szCs w:val="28"/>
          <w:lang w:val="uk-UA"/>
        </w:rPr>
        <w:t>, середній рівень відновленого глутатіону серед обстеженого контингенту дорівнював 2.73 ± 0.58 ммоль / л на початку дослідження, а рівень РМА дорівнював 35.50 ± 2.35 %, що відповідає середньому ступеню тяжкості гінгівіту. Отримані результати регресійног</w:t>
      </w:r>
      <w:r w:rsidR="007608DF">
        <w:rPr>
          <w:rFonts w:ascii="Times New Roman" w:hAnsi="Times New Roman"/>
          <w:sz w:val="28"/>
          <w:szCs w:val="28"/>
          <w:lang w:val="uk-UA"/>
        </w:rPr>
        <w:t>о аналізу наведені у таблицях 10, 11</w:t>
      </w:r>
      <w:r w:rsidRPr="00DD39D0">
        <w:rPr>
          <w:rFonts w:ascii="Times New Roman" w:hAnsi="Times New Roman"/>
          <w:sz w:val="28"/>
          <w:szCs w:val="28"/>
          <w:lang w:val="uk-UA"/>
        </w:rPr>
        <w:t>.</w:t>
      </w:r>
    </w:p>
    <w:p w:rsidR="00DB778B" w:rsidRPr="00DD39D0" w:rsidRDefault="007608DF" w:rsidP="007F028B">
      <w:pPr>
        <w:spacing w:after="120" w:line="240" w:lineRule="auto"/>
        <w:ind w:firstLine="709"/>
        <w:jc w:val="right"/>
        <w:rPr>
          <w:rFonts w:ascii="Times New Roman" w:hAnsi="Times New Roman"/>
          <w:i/>
          <w:sz w:val="28"/>
          <w:szCs w:val="28"/>
          <w:lang w:val="uk-UA"/>
        </w:rPr>
      </w:pPr>
      <w:r>
        <w:rPr>
          <w:rFonts w:ascii="Times New Roman" w:hAnsi="Times New Roman"/>
          <w:i/>
          <w:sz w:val="28"/>
          <w:szCs w:val="28"/>
          <w:lang w:val="uk-UA"/>
        </w:rPr>
        <w:t>Таблиця 10</w:t>
      </w:r>
    </w:p>
    <w:p w:rsidR="00DB778B" w:rsidRPr="0047086B" w:rsidRDefault="00DB778B" w:rsidP="007F028B">
      <w:pPr>
        <w:spacing w:after="120" w:line="240" w:lineRule="auto"/>
        <w:jc w:val="center"/>
        <w:rPr>
          <w:rFonts w:ascii="Times New Roman" w:hAnsi="Times New Roman"/>
          <w:b/>
          <w:sz w:val="28"/>
          <w:szCs w:val="28"/>
          <w:lang w:val="uk-UA"/>
        </w:rPr>
      </w:pPr>
      <w:r w:rsidRPr="0047086B">
        <w:rPr>
          <w:rFonts w:ascii="Times New Roman" w:hAnsi="Times New Roman"/>
          <w:b/>
          <w:sz w:val="28"/>
          <w:szCs w:val="28"/>
          <w:lang w:val="uk-UA"/>
        </w:rPr>
        <w:t xml:space="preserve">Регресійна статистика рівню відновленого глутатіону та індексу РМА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3756"/>
      </w:tblGrid>
      <w:tr w:rsidR="00DD39D0" w:rsidRPr="008C1635" w:rsidTr="008C1635">
        <w:trPr>
          <w:trHeight w:val="214"/>
        </w:trPr>
        <w:tc>
          <w:tcPr>
            <w:tcW w:w="9315" w:type="dxa"/>
            <w:gridSpan w:val="2"/>
            <w:shd w:val="clear" w:color="auto" w:fill="auto"/>
            <w:noWrap/>
            <w:hideMark/>
          </w:tcPr>
          <w:p w:rsidR="00DB778B" w:rsidRPr="008C1635" w:rsidRDefault="00DB778B" w:rsidP="008C1635">
            <w:pPr>
              <w:spacing w:after="0" w:line="240" w:lineRule="auto"/>
              <w:ind w:firstLine="709"/>
              <w:rPr>
                <w:rFonts w:ascii="Times New Roman" w:hAnsi="Times New Roman" w:cs="Tahoma"/>
                <w:i/>
                <w:iCs/>
                <w:sz w:val="28"/>
                <w:szCs w:val="28"/>
                <w:lang w:val="uk-UA"/>
              </w:rPr>
            </w:pPr>
            <w:r w:rsidRPr="008C1635">
              <w:rPr>
                <w:rFonts w:ascii="Times New Roman" w:hAnsi="Times New Roman" w:cs="Tahoma"/>
                <w:i/>
                <w:iCs/>
                <w:sz w:val="28"/>
                <w:szCs w:val="28"/>
                <w:lang w:val="uk-UA"/>
              </w:rPr>
              <w:t>Регресійна статистика</w:t>
            </w:r>
          </w:p>
        </w:tc>
      </w:tr>
      <w:tr w:rsidR="00DD39D0" w:rsidRPr="008C1635" w:rsidTr="008C1635">
        <w:trPr>
          <w:trHeight w:val="214"/>
        </w:trPr>
        <w:tc>
          <w:tcPr>
            <w:tcW w:w="5559" w:type="dxa"/>
            <w:shd w:val="clear" w:color="auto" w:fill="auto"/>
            <w:noWrap/>
            <w:hideMark/>
          </w:tcPr>
          <w:p w:rsidR="00DB778B" w:rsidRPr="008C1635" w:rsidRDefault="00DB778B" w:rsidP="008C1635">
            <w:pPr>
              <w:spacing w:after="0" w:line="240" w:lineRule="auto"/>
              <w:ind w:firstLine="709"/>
              <w:rPr>
                <w:rFonts w:ascii="Times New Roman" w:hAnsi="Times New Roman"/>
                <w:sz w:val="28"/>
                <w:szCs w:val="28"/>
                <w:lang w:val="uk-UA"/>
              </w:rPr>
            </w:pPr>
            <w:r w:rsidRPr="008C1635">
              <w:rPr>
                <w:rFonts w:ascii="Times New Roman" w:hAnsi="Times New Roman"/>
                <w:sz w:val="28"/>
                <w:szCs w:val="28"/>
                <w:lang w:val="uk-UA"/>
              </w:rPr>
              <w:t xml:space="preserve">Множинний </w:t>
            </w:r>
            <w:r w:rsidRPr="008C1635">
              <w:rPr>
                <w:rFonts w:ascii="Times New Roman" w:hAnsi="Times New Roman"/>
                <w:sz w:val="28"/>
                <w:szCs w:val="28"/>
                <w:lang w:val="ru-RU"/>
              </w:rPr>
              <w:t>R</w:t>
            </w:r>
          </w:p>
        </w:tc>
        <w:tc>
          <w:tcPr>
            <w:tcW w:w="3756" w:type="dxa"/>
            <w:shd w:val="clear" w:color="auto" w:fill="auto"/>
            <w:noWrap/>
            <w:vAlign w:val="bottom"/>
            <w:hideMark/>
          </w:tcPr>
          <w:p w:rsidR="00DB778B" w:rsidRPr="008C1635" w:rsidRDefault="00DB778B" w:rsidP="008C1635">
            <w:pPr>
              <w:spacing w:after="0" w:line="240" w:lineRule="auto"/>
              <w:ind w:firstLine="709"/>
              <w:rPr>
                <w:rFonts w:ascii="Times New Roman" w:hAnsi="Times New Roman"/>
                <w:sz w:val="28"/>
                <w:szCs w:val="28"/>
                <w:lang w:val="uk-UA"/>
              </w:rPr>
            </w:pPr>
            <w:r w:rsidRPr="008C1635">
              <w:rPr>
                <w:rFonts w:ascii="Times New Roman" w:eastAsia="Andale Sans UI" w:hAnsi="Times New Roman"/>
                <w:sz w:val="28"/>
                <w:szCs w:val="28"/>
                <w:lang w:val="ru-RU"/>
              </w:rPr>
              <w:t>0.952755</w:t>
            </w:r>
          </w:p>
        </w:tc>
      </w:tr>
      <w:tr w:rsidR="00DD39D0" w:rsidRPr="008C1635" w:rsidTr="008C1635">
        <w:trPr>
          <w:trHeight w:val="214"/>
        </w:trPr>
        <w:tc>
          <w:tcPr>
            <w:tcW w:w="5559" w:type="dxa"/>
            <w:shd w:val="clear" w:color="auto" w:fill="auto"/>
            <w:noWrap/>
            <w:hideMark/>
          </w:tcPr>
          <w:p w:rsidR="00DB778B" w:rsidRPr="008C1635" w:rsidRDefault="00DB778B" w:rsidP="008C1635">
            <w:pPr>
              <w:spacing w:after="0" w:line="240" w:lineRule="auto"/>
              <w:ind w:firstLine="709"/>
              <w:rPr>
                <w:rFonts w:ascii="Times New Roman" w:hAnsi="Times New Roman"/>
                <w:sz w:val="28"/>
                <w:szCs w:val="28"/>
                <w:lang w:val="uk-UA"/>
              </w:rPr>
            </w:pPr>
            <w:r w:rsidRPr="008C1635">
              <w:rPr>
                <w:rFonts w:ascii="Times New Roman" w:hAnsi="Times New Roman"/>
                <w:sz w:val="28"/>
                <w:szCs w:val="28"/>
                <w:lang w:val="ru-RU"/>
              </w:rPr>
              <w:t>R</w:t>
            </w:r>
            <w:r w:rsidRPr="008C1635">
              <w:rPr>
                <w:rFonts w:ascii="Times New Roman" w:hAnsi="Times New Roman"/>
                <w:sz w:val="28"/>
                <w:szCs w:val="28"/>
                <w:lang w:val="uk-UA"/>
              </w:rPr>
              <w:t>-квадрат</w:t>
            </w:r>
          </w:p>
        </w:tc>
        <w:tc>
          <w:tcPr>
            <w:tcW w:w="3756" w:type="dxa"/>
            <w:shd w:val="clear" w:color="auto" w:fill="auto"/>
            <w:noWrap/>
            <w:vAlign w:val="bottom"/>
            <w:hideMark/>
          </w:tcPr>
          <w:p w:rsidR="00DB778B" w:rsidRPr="008C1635" w:rsidRDefault="00DB778B" w:rsidP="008C1635">
            <w:pPr>
              <w:spacing w:after="0" w:line="240" w:lineRule="auto"/>
              <w:ind w:firstLine="709"/>
              <w:rPr>
                <w:rFonts w:ascii="Times New Roman" w:hAnsi="Times New Roman"/>
                <w:sz w:val="28"/>
                <w:szCs w:val="28"/>
                <w:lang w:val="uk-UA"/>
              </w:rPr>
            </w:pPr>
            <w:r w:rsidRPr="008C1635">
              <w:rPr>
                <w:rFonts w:ascii="Times New Roman" w:eastAsia="Andale Sans UI" w:hAnsi="Times New Roman"/>
                <w:sz w:val="28"/>
                <w:szCs w:val="28"/>
                <w:lang w:val="ru-RU"/>
              </w:rPr>
              <w:t>0.907742</w:t>
            </w:r>
          </w:p>
        </w:tc>
      </w:tr>
      <w:tr w:rsidR="00DD39D0" w:rsidRPr="008C1635" w:rsidTr="008C1635">
        <w:trPr>
          <w:trHeight w:val="214"/>
        </w:trPr>
        <w:tc>
          <w:tcPr>
            <w:tcW w:w="5559" w:type="dxa"/>
            <w:shd w:val="clear" w:color="auto" w:fill="auto"/>
            <w:noWrap/>
            <w:hideMark/>
          </w:tcPr>
          <w:p w:rsidR="00DB778B" w:rsidRPr="008C1635" w:rsidRDefault="00DB778B" w:rsidP="008C1635">
            <w:pPr>
              <w:spacing w:after="0" w:line="240" w:lineRule="auto"/>
              <w:ind w:firstLine="709"/>
              <w:rPr>
                <w:rFonts w:ascii="Times New Roman" w:hAnsi="Times New Roman"/>
                <w:sz w:val="28"/>
                <w:szCs w:val="28"/>
                <w:lang w:val="uk-UA"/>
              </w:rPr>
            </w:pPr>
            <w:r w:rsidRPr="008C1635">
              <w:rPr>
                <w:rFonts w:ascii="Times New Roman" w:hAnsi="Times New Roman"/>
                <w:sz w:val="28"/>
                <w:szCs w:val="28"/>
                <w:lang w:val="uk-UA"/>
              </w:rPr>
              <w:t xml:space="preserve">Нормований </w:t>
            </w:r>
            <w:r w:rsidRPr="008C1635">
              <w:rPr>
                <w:rFonts w:ascii="Times New Roman" w:hAnsi="Times New Roman"/>
                <w:sz w:val="28"/>
                <w:szCs w:val="28"/>
                <w:lang w:val="ru-RU"/>
              </w:rPr>
              <w:t>R</w:t>
            </w:r>
            <w:r w:rsidRPr="008C1635">
              <w:rPr>
                <w:rFonts w:ascii="Times New Roman" w:hAnsi="Times New Roman"/>
                <w:sz w:val="28"/>
                <w:szCs w:val="28"/>
                <w:lang w:val="uk-UA"/>
              </w:rPr>
              <w:t>-квадрат</w:t>
            </w:r>
          </w:p>
        </w:tc>
        <w:tc>
          <w:tcPr>
            <w:tcW w:w="3756" w:type="dxa"/>
            <w:shd w:val="clear" w:color="auto" w:fill="auto"/>
            <w:noWrap/>
            <w:vAlign w:val="bottom"/>
            <w:hideMark/>
          </w:tcPr>
          <w:p w:rsidR="00DB778B" w:rsidRPr="008C1635" w:rsidRDefault="00DB778B" w:rsidP="008C1635">
            <w:pPr>
              <w:spacing w:after="0" w:line="240" w:lineRule="auto"/>
              <w:ind w:firstLine="709"/>
              <w:rPr>
                <w:rFonts w:ascii="Times New Roman" w:hAnsi="Times New Roman"/>
                <w:sz w:val="28"/>
                <w:szCs w:val="28"/>
                <w:lang w:val="uk-UA"/>
              </w:rPr>
            </w:pPr>
            <w:r w:rsidRPr="008C1635">
              <w:rPr>
                <w:rFonts w:ascii="Times New Roman" w:eastAsia="Andale Sans UI" w:hAnsi="Times New Roman"/>
                <w:sz w:val="28"/>
                <w:szCs w:val="28"/>
                <w:lang w:val="ru-RU"/>
              </w:rPr>
              <w:t>0.904447</w:t>
            </w:r>
          </w:p>
        </w:tc>
      </w:tr>
      <w:tr w:rsidR="00DD39D0" w:rsidRPr="008C1635" w:rsidTr="008C1635">
        <w:trPr>
          <w:trHeight w:val="214"/>
        </w:trPr>
        <w:tc>
          <w:tcPr>
            <w:tcW w:w="5559" w:type="dxa"/>
            <w:shd w:val="clear" w:color="auto" w:fill="auto"/>
            <w:noWrap/>
            <w:hideMark/>
          </w:tcPr>
          <w:p w:rsidR="00DB778B" w:rsidRPr="008C1635" w:rsidRDefault="00DB778B" w:rsidP="008C1635">
            <w:pPr>
              <w:spacing w:after="0" w:line="240" w:lineRule="auto"/>
              <w:ind w:firstLine="709"/>
              <w:rPr>
                <w:rFonts w:ascii="Times New Roman" w:hAnsi="Times New Roman"/>
                <w:sz w:val="28"/>
                <w:szCs w:val="28"/>
                <w:lang w:val="ru-RU"/>
              </w:rPr>
            </w:pPr>
            <w:r w:rsidRPr="008C1635">
              <w:rPr>
                <w:rFonts w:ascii="Times New Roman" w:hAnsi="Times New Roman"/>
                <w:sz w:val="28"/>
                <w:szCs w:val="28"/>
                <w:lang w:val="ru-RU"/>
              </w:rPr>
              <w:t>Стандартна помилка</w:t>
            </w:r>
          </w:p>
        </w:tc>
        <w:tc>
          <w:tcPr>
            <w:tcW w:w="3756" w:type="dxa"/>
            <w:shd w:val="clear" w:color="auto" w:fill="auto"/>
            <w:noWrap/>
            <w:vAlign w:val="bottom"/>
            <w:hideMark/>
          </w:tcPr>
          <w:p w:rsidR="00DB778B" w:rsidRPr="008C1635" w:rsidRDefault="00DB778B" w:rsidP="008C1635">
            <w:pPr>
              <w:spacing w:after="0" w:line="240" w:lineRule="auto"/>
              <w:ind w:firstLine="709"/>
              <w:rPr>
                <w:rFonts w:ascii="Times New Roman" w:hAnsi="Times New Roman"/>
                <w:sz w:val="28"/>
                <w:szCs w:val="28"/>
                <w:lang w:val="ru-RU"/>
              </w:rPr>
            </w:pPr>
            <w:r w:rsidRPr="008C1635">
              <w:rPr>
                <w:rFonts w:ascii="Times New Roman" w:eastAsia="Andale Sans UI" w:hAnsi="Times New Roman"/>
                <w:sz w:val="28"/>
                <w:szCs w:val="28"/>
                <w:lang w:val="ru-RU"/>
              </w:rPr>
              <w:t>0.724943</w:t>
            </w:r>
          </w:p>
        </w:tc>
      </w:tr>
      <w:tr w:rsidR="00DB778B" w:rsidRPr="008C1635" w:rsidTr="008C1635">
        <w:trPr>
          <w:trHeight w:val="226"/>
        </w:trPr>
        <w:tc>
          <w:tcPr>
            <w:tcW w:w="5559" w:type="dxa"/>
            <w:shd w:val="clear" w:color="auto" w:fill="auto"/>
            <w:noWrap/>
            <w:hideMark/>
          </w:tcPr>
          <w:p w:rsidR="00DB778B" w:rsidRPr="008C1635" w:rsidRDefault="00DB778B" w:rsidP="008C1635">
            <w:pPr>
              <w:spacing w:after="0" w:line="240" w:lineRule="auto"/>
              <w:ind w:firstLine="709"/>
              <w:rPr>
                <w:rFonts w:ascii="Times New Roman" w:hAnsi="Times New Roman"/>
                <w:sz w:val="28"/>
                <w:szCs w:val="28"/>
                <w:lang w:val="ru-RU"/>
              </w:rPr>
            </w:pPr>
            <w:r w:rsidRPr="008C1635">
              <w:rPr>
                <w:rFonts w:ascii="Times New Roman" w:hAnsi="Times New Roman"/>
                <w:sz w:val="28"/>
                <w:szCs w:val="28"/>
                <w:lang w:val="ru-RU"/>
              </w:rPr>
              <w:t>Спостереження</w:t>
            </w:r>
          </w:p>
        </w:tc>
        <w:tc>
          <w:tcPr>
            <w:tcW w:w="3756" w:type="dxa"/>
            <w:shd w:val="clear" w:color="auto" w:fill="auto"/>
            <w:noWrap/>
            <w:vAlign w:val="bottom"/>
            <w:hideMark/>
          </w:tcPr>
          <w:p w:rsidR="00DB778B" w:rsidRPr="008C1635" w:rsidRDefault="00DB778B" w:rsidP="008C1635">
            <w:pPr>
              <w:spacing w:after="0" w:line="240" w:lineRule="auto"/>
              <w:ind w:firstLine="709"/>
              <w:rPr>
                <w:rFonts w:ascii="Times New Roman" w:hAnsi="Times New Roman"/>
                <w:sz w:val="28"/>
                <w:szCs w:val="28"/>
                <w:lang w:val="ru-RU"/>
              </w:rPr>
            </w:pPr>
            <w:r w:rsidRPr="008C1635">
              <w:rPr>
                <w:rFonts w:ascii="Times New Roman" w:eastAsia="Andale Sans UI" w:hAnsi="Times New Roman"/>
                <w:sz w:val="28"/>
                <w:szCs w:val="28"/>
                <w:lang w:val="ru-RU"/>
              </w:rPr>
              <w:t>30</w:t>
            </w:r>
          </w:p>
        </w:tc>
      </w:tr>
    </w:tbl>
    <w:p w:rsidR="00DB778B" w:rsidRPr="00DD39D0" w:rsidRDefault="00DB778B" w:rsidP="00DB778B">
      <w:pPr>
        <w:spacing w:after="0" w:line="240" w:lineRule="auto"/>
        <w:ind w:firstLine="709"/>
        <w:rPr>
          <w:rFonts w:ascii="Times New Roman" w:hAnsi="Times New Roman"/>
          <w:sz w:val="28"/>
          <w:szCs w:val="28"/>
          <w:lang w:val="ru-RU"/>
        </w:rPr>
      </w:pPr>
    </w:p>
    <w:p w:rsidR="00DB778B" w:rsidRPr="00DD39D0" w:rsidRDefault="00DB778B" w:rsidP="00DB778B">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Звертає на себе увагу той факт, що коефіцієнт детермінації, позначений як R-квадрат, дорівнює 0.91, що вказує на стійку залежність між значенням вмісту відновленого глутатіону у ротовій рідині та ступенем запалення тканин пародонту та доводить що 91 % змінюваності одного параметру залежить від змінюваності іншого. Множинний </w:t>
      </w:r>
      <w:r w:rsidRPr="00DD39D0">
        <w:rPr>
          <w:rFonts w:ascii="Times New Roman" w:hAnsi="Times New Roman"/>
          <w:sz w:val="28"/>
          <w:szCs w:val="28"/>
        </w:rPr>
        <w:t>R</w:t>
      </w:r>
      <w:r w:rsidRPr="00DD39D0">
        <w:rPr>
          <w:rFonts w:ascii="Times New Roman" w:hAnsi="Times New Roman"/>
          <w:sz w:val="28"/>
          <w:szCs w:val="28"/>
          <w:lang w:val="uk-UA"/>
        </w:rPr>
        <w:t xml:space="preserve"> є коефіцієнтом кореляції та підтверджує залежність досліджуваних параметрів.</w:t>
      </w:r>
    </w:p>
    <w:p w:rsidR="00DB778B" w:rsidRPr="00DD39D0" w:rsidRDefault="007608DF" w:rsidP="007F028B">
      <w:pPr>
        <w:spacing w:after="120" w:line="240" w:lineRule="auto"/>
        <w:ind w:firstLine="709"/>
        <w:jc w:val="right"/>
        <w:rPr>
          <w:rFonts w:ascii="Times New Roman" w:hAnsi="Times New Roman"/>
          <w:i/>
          <w:sz w:val="28"/>
          <w:szCs w:val="28"/>
          <w:lang w:val="uk-UA"/>
        </w:rPr>
      </w:pPr>
      <w:r>
        <w:rPr>
          <w:rFonts w:ascii="Times New Roman" w:hAnsi="Times New Roman"/>
          <w:i/>
          <w:sz w:val="28"/>
          <w:szCs w:val="28"/>
          <w:lang w:val="uk-UA"/>
        </w:rPr>
        <w:t>Таблиця 11</w:t>
      </w:r>
    </w:p>
    <w:p w:rsidR="00DB778B" w:rsidRPr="0047086B" w:rsidRDefault="00DB778B" w:rsidP="007F028B">
      <w:pPr>
        <w:spacing w:after="120" w:line="240" w:lineRule="auto"/>
        <w:ind w:firstLine="709"/>
        <w:jc w:val="center"/>
        <w:rPr>
          <w:rFonts w:ascii="Times New Roman" w:hAnsi="Times New Roman"/>
          <w:b/>
          <w:sz w:val="28"/>
          <w:szCs w:val="28"/>
          <w:lang w:val="uk-UA"/>
        </w:rPr>
      </w:pPr>
      <w:r w:rsidRPr="0047086B">
        <w:rPr>
          <w:rFonts w:ascii="Times New Roman" w:hAnsi="Times New Roman"/>
          <w:b/>
          <w:sz w:val="28"/>
          <w:szCs w:val="28"/>
          <w:lang w:val="uk-UA"/>
        </w:rPr>
        <w:t>Визначення коефіцієнтів регресійної статистики</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254"/>
        <w:gridCol w:w="2021"/>
        <w:gridCol w:w="1859"/>
        <w:gridCol w:w="1365"/>
      </w:tblGrid>
      <w:tr w:rsidR="00CC3479" w:rsidRPr="008C1635" w:rsidTr="008C1635">
        <w:trPr>
          <w:trHeight w:val="249"/>
        </w:trPr>
        <w:tc>
          <w:tcPr>
            <w:tcW w:w="2021" w:type="dxa"/>
            <w:shd w:val="clear" w:color="auto" w:fill="auto"/>
            <w:noWrap/>
            <w:hideMark/>
          </w:tcPr>
          <w:p w:rsidR="00DB778B" w:rsidRPr="008C1635" w:rsidRDefault="00DB778B" w:rsidP="008C1635">
            <w:pPr>
              <w:spacing w:after="0" w:line="240" w:lineRule="auto"/>
              <w:jc w:val="center"/>
              <w:rPr>
                <w:rFonts w:ascii="Times New Roman" w:eastAsia="Times New Roman" w:hAnsi="Times New Roman" w:cs="Tahoma"/>
                <w:i/>
                <w:iCs/>
                <w:sz w:val="28"/>
                <w:szCs w:val="28"/>
                <w:lang w:val="ru-RU"/>
              </w:rPr>
            </w:pPr>
            <w:r w:rsidRPr="008C1635">
              <w:rPr>
                <w:rFonts w:ascii="Times New Roman" w:eastAsia="Times New Roman" w:hAnsi="Times New Roman" w:cs="Tahoma"/>
                <w:i/>
                <w:iCs/>
                <w:sz w:val="28"/>
                <w:szCs w:val="28"/>
                <w:lang w:val="ru-RU"/>
              </w:rPr>
              <w:t> </w:t>
            </w:r>
          </w:p>
        </w:tc>
        <w:tc>
          <w:tcPr>
            <w:tcW w:w="2254" w:type="dxa"/>
            <w:shd w:val="clear" w:color="auto" w:fill="auto"/>
            <w:noWrap/>
            <w:hideMark/>
          </w:tcPr>
          <w:p w:rsidR="00DB778B" w:rsidRPr="008C1635" w:rsidRDefault="00DB778B" w:rsidP="008C1635">
            <w:pPr>
              <w:spacing w:after="0" w:line="240" w:lineRule="auto"/>
              <w:rPr>
                <w:rFonts w:ascii="Times New Roman" w:hAnsi="Times New Roman"/>
                <w:i/>
                <w:iCs/>
                <w:sz w:val="28"/>
                <w:szCs w:val="28"/>
                <w:lang w:val="uk-UA"/>
              </w:rPr>
            </w:pPr>
            <w:r w:rsidRPr="008C1635">
              <w:rPr>
                <w:rFonts w:ascii="Times New Roman" w:hAnsi="Times New Roman"/>
                <w:i/>
                <w:iCs/>
                <w:sz w:val="28"/>
                <w:szCs w:val="28"/>
                <w:lang w:val="uk-UA"/>
              </w:rPr>
              <w:t>Коефіцієнти</w:t>
            </w:r>
          </w:p>
        </w:tc>
        <w:tc>
          <w:tcPr>
            <w:tcW w:w="2021" w:type="dxa"/>
            <w:shd w:val="clear" w:color="auto" w:fill="auto"/>
            <w:noWrap/>
            <w:hideMark/>
          </w:tcPr>
          <w:p w:rsidR="00DB778B" w:rsidRPr="008C1635" w:rsidRDefault="00DB778B" w:rsidP="008C1635">
            <w:pPr>
              <w:spacing w:after="0" w:line="240" w:lineRule="auto"/>
              <w:rPr>
                <w:rFonts w:ascii="Times New Roman" w:hAnsi="Times New Roman"/>
                <w:i/>
                <w:iCs/>
                <w:sz w:val="28"/>
                <w:szCs w:val="28"/>
                <w:lang w:val="uk-UA"/>
              </w:rPr>
            </w:pPr>
            <w:r w:rsidRPr="008C1635">
              <w:rPr>
                <w:rFonts w:ascii="Times New Roman" w:hAnsi="Times New Roman"/>
                <w:i/>
                <w:iCs/>
                <w:sz w:val="28"/>
                <w:szCs w:val="28"/>
                <w:lang w:val="uk-UA"/>
              </w:rPr>
              <w:t>Стандартна помилка</w:t>
            </w:r>
          </w:p>
        </w:tc>
        <w:tc>
          <w:tcPr>
            <w:tcW w:w="1859" w:type="dxa"/>
            <w:shd w:val="clear" w:color="auto" w:fill="auto"/>
            <w:noWrap/>
            <w:hideMark/>
          </w:tcPr>
          <w:p w:rsidR="00DB778B" w:rsidRPr="008C1635" w:rsidRDefault="00DB778B" w:rsidP="008C1635">
            <w:pPr>
              <w:spacing w:after="0" w:line="240" w:lineRule="auto"/>
              <w:ind w:firstLine="709"/>
              <w:rPr>
                <w:rFonts w:ascii="Times New Roman" w:hAnsi="Times New Roman"/>
                <w:i/>
                <w:iCs/>
                <w:sz w:val="28"/>
                <w:szCs w:val="28"/>
                <w:lang w:val="ru-RU"/>
              </w:rPr>
            </w:pPr>
            <w:r w:rsidRPr="008C1635">
              <w:rPr>
                <w:rFonts w:ascii="Times New Roman" w:hAnsi="Times New Roman"/>
                <w:i/>
                <w:iCs/>
                <w:sz w:val="28"/>
                <w:szCs w:val="28"/>
                <w:lang w:val="ru-RU"/>
              </w:rPr>
              <w:t>t-статистика</w:t>
            </w:r>
          </w:p>
        </w:tc>
        <w:tc>
          <w:tcPr>
            <w:tcW w:w="1365" w:type="dxa"/>
            <w:shd w:val="clear" w:color="auto" w:fill="auto"/>
            <w:noWrap/>
            <w:hideMark/>
          </w:tcPr>
          <w:p w:rsidR="00DB778B" w:rsidRPr="008C1635" w:rsidRDefault="00DB778B" w:rsidP="008C1635">
            <w:pPr>
              <w:spacing w:after="0" w:line="240" w:lineRule="auto"/>
              <w:ind w:firstLine="709"/>
              <w:rPr>
                <w:rFonts w:ascii="Times New Roman" w:hAnsi="Times New Roman"/>
                <w:i/>
                <w:iCs/>
                <w:sz w:val="28"/>
                <w:szCs w:val="28"/>
                <w:lang w:val="uk-UA"/>
              </w:rPr>
            </w:pPr>
            <w:r w:rsidRPr="008C1635">
              <w:rPr>
                <w:rFonts w:ascii="Times New Roman" w:hAnsi="Times New Roman"/>
                <w:i/>
                <w:iCs/>
                <w:sz w:val="28"/>
                <w:szCs w:val="28"/>
                <w:lang w:val="ru-RU"/>
              </w:rPr>
              <w:t>P-</w:t>
            </w:r>
            <w:r w:rsidRPr="008C1635">
              <w:rPr>
                <w:rFonts w:ascii="Times New Roman" w:hAnsi="Times New Roman"/>
                <w:i/>
                <w:iCs/>
                <w:sz w:val="28"/>
                <w:szCs w:val="28"/>
                <w:lang w:val="uk-UA"/>
              </w:rPr>
              <w:t>значення</w:t>
            </w:r>
          </w:p>
        </w:tc>
      </w:tr>
      <w:tr w:rsidR="00CC3479" w:rsidRPr="008C1635" w:rsidTr="008C1635">
        <w:trPr>
          <w:trHeight w:val="249"/>
        </w:trPr>
        <w:tc>
          <w:tcPr>
            <w:tcW w:w="2021" w:type="dxa"/>
            <w:shd w:val="clear" w:color="auto" w:fill="auto"/>
            <w:noWrap/>
            <w:hideMark/>
          </w:tcPr>
          <w:p w:rsidR="00DB778B" w:rsidRPr="008C1635" w:rsidRDefault="00DB778B" w:rsidP="008C1635">
            <w:pPr>
              <w:spacing w:after="0" w:line="240" w:lineRule="auto"/>
              <w:rPr>
                <w:rFonts w:ascii="Times New Roman" w:hAnsi="Times New Roman"/>
                <w:sz w:val="28"/>
                <w:szCs w:val="28"/>
                <w:lang w:val="ru-RU"/>
              </w:rPr>
            </w:pPr>
            <w:r w:rsidRPr="008C1635">
              <w:rPr>
                <w:rFonts w:ascii="Times New Roman" w:hAnsi="Times New Roman"/>
                <w:sz w:val="28"/>
                <w:szCs w:val="28"/>
                <w:lang w:val="ru-RU"/>
              </w:rPr>
              <w:t>Y-пересічення</w:t>
            </w:r>
          </w:p>
        </w:tc>
        <w:tc>
          <w:tcPr>
            <w:tcW w:w="2254" w:type="dxa"/>
            <w:shd w:val="clear" w:color="auto" w:fill="auto"/>
            <w:noWrap/>
            <w:vAlign w:val="bottom"/>
            <w:hideMark/>
          </w:tcPr>
          <w:p w:rsidR="00DB778B" w:rsidRPr="008C1635" w:rsidRDefault="00DB778B" w:rsidP="008C1635">
            <w:pPr>
              <w:spacing w:after="0" w:line="240" w:lineRule="auto"/>
              <w:rPr>
                <w:rFonts w:ascii="Times New Roman" w:eastAsia="Times New Roman" w:hAnsi="Times New Roman"/>
                <w:sz w:val="28"/>
                <w:szCs w:val="28"/>
                <w:lang w:val="ru-RU"/>
              </w:rPr>
            </w:pPr>
            <w:r w:rsidRPr="008C1635">
              <w:rPr>
                <w:rFonts w:ascii="Times New Roman" w:eastAsia="Andale Sans UI" w:hAnsi="Times New Roman"/>
                <w:sz w:val="28"/>
                <w:szCs w:val="28"/>
                <w:lang w:val="ru-RU"/>
              </w:rPr>
              <w:t>40.97408</w:t>
            </w:r>
          </w:p>
        </w:tc>
        <w:tc>
          <w:tcPr>
            <w:tcW w:w="2021" w:type="dxa"/>
            <w:shd w:val="clear" w:color="auto" w:fill="auto"/>
            <w:noWrap/>
            <w:vAlign w:val="bottom"/>
            <w:hideMark/>
          </w:tcPr>
          <w:p w:rsidR="00DB778B" w:rsidRPr="008C1635" w:rsidRDefault="00DB778B" w:rsidP="008C1635">
            <w:pPr>
              <w:spacing w:after="0" w:line="240" w:lineRule="auto"/>
              <w:rPr>
                <w:rFonts w:ascii="Times New Roman" w:eastAsia="Times New Roman" w:hAnsi="Times New Roman"/>
                <w:sz w:val="28"/>
                <w:szCs w:val="28"/>
                <w:lang w:val="ru-RU"/>
              </w:rPr>
            </w:pPr>
            <w:r w:rsidRPr="008C1635">
              <w:rPr>
                <w:rFonts w:ascii="Times New Roman" w:eastAsia="Andale Sans UI" w:hAnsi="Times New Roman"/>
                <w:sz w:val="28"/>
                <w:szCs w:val="28"/>
                <w:lang w:val="ru-RU"/>
              </w:rPr>
              <w:t>0.355369</w:t>
            </w:r>
          </w:p>
        </w:tc>
        <w:tc>
          <w:tcPr>
            <w:tcW w:w="1859" w:type="dxa"/>
            <w:shd w:val="clear" w:color="auto" w:fill="auto"/>
            <w:noWrap/>
            <w:vAlign w:val="bottom"/>
            <w:hideMark/>
          </w:tcPr>
          <w:p w:rsidR="00DB778B" w:rsidRPr="008C1635" w:rsidRDefault="00DB778B" w:rsidP="008C1635">
            <w:pPr>
              <w:spacing w:after="0" w:line="240" w:lineRule="auto"/>
              <w:rPr>
                <w:rFonts w:ascii="Times New Roman" w:eastAsia="Times New Roman" w:hAnsi="Times New Roman"/>
                <w:sz w:val="28"/>
                <w:szCs w:val="28"/>
                <w:lang w:val="ru-RU"/>
              </w:rPr>
            </w:pPr>
            <w:r w:rsidRPr="008C1635">
              <w:rPr>
                <w:rFonts w:ascii="Times New Roman" w:eastAsia="Andale Sans UI" w:hAnsi="Times New Roman"/>
                <w:sz w:val="28"/>
                <w:szCs w:val="28"/>
                <w:lang w:val="ru-RU"/>
              </w:rPr>
              <w:t>115.3</w:t>
            </w:r>
          </w:p>
        </w:tc>
        <w:tc>
          <w:tcPr>
            <w:tcW w:w="1365" w:type="dxa"/>
            <w:shd w:val="clear" w:color="auto" w:fill="auto"/>
            <w:noWrap/>
            <w:vAlign w:val="bottom"/>
            <w:hideMark/>
          </w:tcPr>
          <w:p w:rsidR="00DB778B" w:rsidRPr="008C1635" w:rsidRDefault="00DB778B" w:rsidP="008C1635">
            <w:pPr>
              <w:spacing w:after="0" w:line="240" w:lineRule="auto"/>
              <w:jc w:val="right"/>
              <w:rPr>
                <w:rFonts w:ascii="Times New Roman" w:eastAsia="Times New Roman" w:hAnsi="Times New Roman"/>
                <w:sz w:val="28"/>
                <w:szCs w:val="28"/>
                <w:lang w:val="ru-RU"/>
              </w:rPr>
            </w:pPr>
            <w:r w:rsidRPr="008C1635">
              <w:rPr>
                <w:rFonts w:ascii="Times New Roman" w:eastAsia="Andale Sans UI" w:hAnsi="Times New Roman"/>
                <w:sz w:val="28"/>
                <w:szCs w:val="28"/>
                <w:lang w:val="ru-RU"/>
              </w:rPr>
              <w:t>4.91E-39</w:t>
            </w:r>
          </w:p>
        </w:tc>
      </w:tr>
      <w:tr w:rsidR="00CC3479" w:rsidRPr="008C1635" w:rsidTr="008C1635">
        <w:trPr>
          <w:trHeight w:val="264"/>
        </w:trPr>
        <w:tc>
          <w:tcPr>
            <w:tcW w:w="2021" w:type="dxa"/>
            <w:shd w:val="clear" w:color="auto" w:fill="auto"/>
            <w:noWrap/>
            <w:hideMark/>
          </w:tcPr>
          <w:p w:rsidR="00DB778B" w:rsidRPr="008C1635" w:rsidRDefault="00DB778B" w:rsidP="008C1635">
            <w:pPr>
              <w:spacing w:after="0" w:line="240" w:lineRule="auto"/>
              <w:rPr>
                <w:rFonts w:ascii="Times New Roman" w:hAnsi="Times New Roman"/>
                <w:sz w:val="28"/>
                <w:szCs w:val="28"/>
                <w:lang w:val="ru-RU"/>
              </w:rPr>
            </w:pPr>
            <w:r w:rsidRPr="008C1635">
              <w:rPr>
                <w:rFonts w:ascii="Times New Roman" w:hAnsi="Times New Roman"/>
                <w:sz w:val="28"/>
                <w:szCs w:val="28"/>
                <w:lang w:val="uk-UA"/>
              </w:rPr>
              <w:lastRenderedPageBreak/>
              <w:t>Змінна</w:t>
            </w:r>
            <w:r w:rsidRPr="008C1635">
              <w:rPr>
                <w:rFonts w:ascii="Times New Roman" w:hAnsi="Times New Roman"/>
                <w:sz w:val="28"/>
                <w:szCs w:val="28"/>
                <w:lang w:val="ru-RU"/>
              </w:rPr>
              <w:t xml:space="preserve"> X 1</w:t>
            </w:r>
          </w:p>
        </w:tc>
        <w:tc>
          <w:tcPr>
            <w:tcW w:w="2254" w:type="dxa"/>
            <w:shd w:val="clear" w:color="auto" w:fill="auto"/>
            <w:noWrap/>
            <w:vAlign w:val="bottom"/>
            <w:hideMark/>
          </w:tcPr>
          <w:p w:rsidR="00DB778B" w:rsidRPr="008C1635" w:rsidRDefault="00DB778B" w:rsidP="008C1635">
            <w:pPr>
              <w:spacing w:after="0" w:line="240" w:lineRule="auto"/>
              <w:rPr>
                <w:rFonts w:ascii="Times New Roman" w:eastAsia="Times New Roman" w:hAnsi="Times New Roman"/>
                <w:sz w:val="28"/>
                <w:szCs w:val="28"/>
                <w:lang w:val="ru-RU"/>
              </w:rPr>
            </w:pPr>
            <w:r w:rsidRPr="008C1635">
              <w:rPr>
                <w:rFonts w:ascii="Times New Roman" w:eastAsia="Andale Sans UI" w:hAnsi="Times New Roman"/>
                <w:sz w:val="28"/>
                <w:szCs w:val="28"/>
                <w:lang w:val="ru-RU"/>
              </w:rPr>
              <w:t>-2.49199</w:t>
            </w:r>
          </w:p>
        </w:tc>
        <w:tc>
          <w:tcPr>
            <w:tcW w:w="2021" w:type="dxa"/>
            <w:shd w:val="clear" w:color="auto" w:fill="auto"/>
            <w:noWrap/>
            <w:vAlign w:val="bottom"/>
            <w:hideMark/>
          </w:tcPr>
          <w:p w:rsidR="00DB778B" w:rsidRPr="008C1635" w:rsidRDefault="00DB778B" w:rsidP="008C1635">
            <w:pPr>
              <w:spacing w:after="0" w:line="240" w:lineRule="auto"/>
              <w:rPr>
                <w:rFonts w:ascii="Times New Roman" w:eastAsia="Times New Roman" w:hAnsi="Times New Roman"/>
                <w:sz w:val="28"/>
                <w:szCs w:val="28"/>
                <w:lang w:val="ru-RU"/>
              </w:rPr>
            </w:pPr>
            <w:r w:rsidRPr="008C1635">
              <w:rPr>
                <w:rFonts w:ascii="Times New Roman" w:eastAsia="Andale Sans UI" w:hAnsi="Times New Roman"/>
                <w:sz w:val="28"/>
                <w:szCs w:val="28"/>
                <w:lang w:val="ru-RU"/>
              </w:rPr>
              <w:t>0.150137</w:t>
            </w:r>
          </w:p>
        </w:tc>
        <w:tc>
          <w:tcPr>
            <w:tcW w:w="1859" w:type="dxa"/>
            <w:shd w:val="clear" w:color="auto" w:fill="auto"/>
            <w:noWrap/>
            <w:vAlign w:val="bottom"/>
            <w:hideMark/>
          </w:tcPr>
          <w:p w:rsidR="00DB778B" w:rsidRPr="008C1635" w:rsidRDefault="00DB778B" w:rsidP="008C1635">
            <w:pPr>
              <w:spacing w:after="0" w:line="240" w:lineRule="auto"/>
              <w:rPr>
                <w:rFonts w:ascii="Times New Roman" w:eastAsia="Times New Roman" w:hAnsi="Times New Roman"/>
                <w:sz w:val="28"/>
                <w:szCs w:val="28"/>
                <w:lang w:val="ru-RU"/>
              </w:rPr>
            </w:pPr>
            <w:r w:rsidRPr="008C1635">
              <w:rPr>
                <w:rFonts w:ascii="Times New Roman" w:eastAsia="Andale Sans UI" w:hAnsi="Times New Roman"/>
                <w:sz w:val="28"/>
                <w:szCs w:val="28"/>
                <w:lang w:val="ru-RU"/>
              </w:rPr>
              <w:t>-16.5981</w:t>
            </w:r>
          </w:p>
        </w:tc>
        <w:tc>
          <w:tcPr>
            <w:tcW w:w="1365" w:type="dxa"/>
            <w:shd w:val="clear" w:color="auto" w:fill="auto"/>
            <w:noWrap/>
            <w:vAlign w:val="bottom"/>
            <w:hideMark/>
          </w:tcPr>
          <w:p w:rsidR="00DB778B" w:rsidRPr="008C1635" w:rsidRDefault="00DB778B" w:rsidP="008C1635">
            <w:pPr>
              <w:spacing w:after="0" w:line="240" w:lineRule="auto"/>
              <w:jc w:val="right"/>
              <w:rPr>
                <w:rFonts w:ascii="Times New Roman" w:eastAsia="Times New Roman" w:hAnsi="Times New Roman"/>
                <w:sz w:val="28"/>
                <w:szCs w:val="28"/>
                <w:lang w:val="ru-RU"/>
              </w:rPr>
            </w:pPr>
            <w:r w:rsidRPr="008C1635">
              <w:rPr>
                <w:rFonts w:ascii="Times New Roman" w:eastAsia="Andale Sans UI" w:hAnsi="Times New Roman"/>
                <w:sz w:val="28"/>
                <w:szCs w:val="28"/>
                <w:lang w:val="ru-RU"/>
              </w:rPr>
              <w:t>5.06E-16</w:t>
            </w:r>
          </w:p>
        </w:tc>
      </w:tr>
    </w:tbl>
    <w:p w:rsidR="00DB778B" w:rsidRPr="00DD39D0" w:rsidRDefault="00DB778B" w:rsidP="00DB778B">
      <w:pPr>
        <w:spacing w:after="0" w:line="240" w:lineRule="auto"/>
        <w:jc w:val="both"/>
        <w:rPr>
          <w:rFonts w:ascii="Times New Roman" w:hAnsi="Times New Roman"/>
          <w:sz w:val="28"/>
          <w:szCs w:val="28"/>
          <w:lang w:val="uk-UA"/>
        </w:rPr>
      </w:pPr>
    </w:p>
    <w:p w:rsidR="00DB778B" w:rsidRPr="00DD39D0" w:rsidRDefault="00DB778B" w:rsidP="00DB778B">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Визначення стандартної помилки та Р-значення вказує на достовірність побудованого рівняння лінійної регресії. Наведені коефіцієнти регресії пока</w:t>
      </w:r>
      <w:r w:rsidR="00417A34" w:rsidRPr="00DD39D0">
        <w:rPr>
          <w:rFonts w:ascii="Times New Roman" w:hAnsi="Times New Roman"/>
          <w:sz w:val="28"/>
          <w:szCs w:val="28"/>
          <w:lang w:val="uk-UA"/>
        </w:rPr>
        <w:t>зують, що залежність ступеню запалення тканин пародонту</w:t>
      </w:r>
      <w:r w:rsidRPr="00DD39D0">
        <w:rPr>
          <w:rFonts w:ascii="Times New Roman" w:hAnsi="Times New Roman"/>
          <w:sz w:val="28"/>
          <w:szCs w:val="28"/>
          <w:lang w:val="uk-UA"/>
        </w:rPr>
        <w:t xml:space="preserve"> </w:t>
      </w:r>
      <w:r w:rsidR="00417A34" w:rsidRPr="00DD39D0">
        <w:rPr>
          <w:rFonts w:ascii="Times New Roman" w:hAnsi="Times New Roman"/>
          <w:sz w:val="28"/>
          <w:szCs w:val="28"/>
          <w:lang w:val="uk-UA"/>
        </w:rPr>
        <w:t>зворотно</w:t>
      </w:r>
      <w:r w:rsidRPr="00DD39D0">
        <w:rPr>
          <w:rFonts w:ascii="Times New Roman" w:hAnsi="Times New Roman"/>
          <w:sz w:val="28"/>
          <w:szCs w:val="28"/>
          <w:lang w:val="uk-UA"/>
        </w:rPr>
        <w:t xml:space="preserve"> залежна від значень </w:t>
      </w:r>
      <w:r w:rsidR="00417A34" w:rsidRPr="00DD39D0">
        <w:rPr>
          <w:rFonts w:ascii="Times New Roman" w:hAnsi="Times New Roman"/>
          <w:sz w:val="28"/>
          <w:szCs w:val="28"/>
          <w:lang w:val="uk-UA"/>
        </w:rPr>
        <w:t>рівню відновленого глутатіону</w:t>
      </w:r>
      <w:r w:rsidRPr="00DD39D0">
        <w:rPr>
          <w:rFonts w:ascii="Times New Roman" w:hAnsi="Times New Roman"/>
          <w:sz w:val="28"/>
          <w:szCs w:val="28"/>
          <w:lang w:val="uk-UA"/>
        </w:rPr>
        <w:t>.</w:t>
      </w:r>
    </w:p>
    <w:p w:rsidR="007F028B" w:rsidRPr="007F028B" w:rsidRDefault="00DB778B" w:rsidP="007F028B">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Таким чином, регресійний аналіз даних показав, що побудована прогностична модель має необхідну адекватність, </w:t>
      </w:r>
      <w:r w:rsidR="00F40353">
        <w:rPr>
          <w:rFonts w:ascii="Times New Roman" w:hAnsi="Times New Roman"/>
          <w:sz w:val="28"/>
          <w:szCs w:val="28"/>
          <w:lang w:val="uk-UA"/>
        </w:rPr>
        <w:t>прогностичні</w:t>
      </w:r>
      <w:r w:rsidRPr="00DD39D0">
        <w:rPr>
          <w:rFonts w:ascii="Times New Roman" w:hAnsi="Times New Roman"/>
          <w:sz w:val="28"/>
          <w:szCs w:val="28"/>
          <w:lang w:val="uk-UA"/>
        </w:rPr>
        <w:t xml:space="preserve"> значення можуть бути застосовані як предиктивні для характеризування ступеню запалення тканин пародонту. У результаті проведеного аналізу визначено коефіцієнт детермінації, який показав, що 91 % змінюваності рівню</w:t>
      </w:r>
      <w:r w:rsidR="00417A34" w:rsidRPr="00DD39D0">
        <w:rPr>
          <w:rFonts w:ascii="Times New Roman" w:hAnsi="Times New Roman"/>
          <w:sz w:val="28"/>
          <w:szCs w:val="28"/>
          <w:lang w:val="uk-UA"/>
        </w:rPr>
        <w:t xml:space="preserve"> індексу РМА, а отже запалення тканин пародонту,</w:t>
      </w:r>
      <w:r w:rsidRPr="00DD39D0">
        <w:rPr>
          <w:rFonts w:ascii="Times New Roman" w:hAnsi="Times New Roman"/>
          <w:sz w:val="28"/>
          <w:szCs w:val="28"/>
          <w:lang w:val="uk-UA"/>
        </w:rPr>
        <w:t xml:space="preserve"> </w:t>
      </w:r>
      <w:r w:rsidR="00417A34" w:rsidRPr="00DD39D0">
        <w:rPr>
          <w:rFonts w:ascii="Times New Roman" w:hAnsi="Times New Roman"/>
          <w:sz w:val="28"/>
          <w:szCs w:val="28"/>
          <w:lang w:val="uk-UA"/>
        </w:rPr>
        <w:t>залежить від зміни рівню глутатіону</w:t>
      </w:r>
      <w:r w:rsidRPr="00DD39D0">
        <w:rPr>
          <w:rFonts w:ascii="Times New Roman" w:hAnsi="Times New Roman"/>
          <w:sz w:val="28"/>
          <w:szCs w:val="28"/>
          <w:lang w:val="uk-UA"/>
        </w:rPr>
        <w:t>; на 9 % припадає вплив інших факторів. Отже, рівень відновленого глутатіону може бути рекомендований як предиктивний та діагностичний біомаркер запалення тканин пародонту у дітей з атопічними захворюваннями.</w:t>
      </w:r>
    </w:p>
    <w:p w:rsidR="004D500C" w:rsidRDefault="004D500C" w:rsidP="006721D7">
      <w:pPr>
        <w:spacing w:after="0" w:line="240" w:lineRule="auto"/>
        <w:ind w:firstLine="709"/>
        <w:jc w:val="center"/>
        <w:rPr>
          <w:rFonts w:ascii="Times New Roman" w:hAnsi="Times New Roman"/>
          <w:b/>
          <w:sz w:val="28"/>
          <w:szCs w:val="28"/>
          <w:lang w:val="uk-UA"/>
        </w:rPr>
      </w:pPr>
    </w:p>
    <w:p w:rsidR="00F648E4" w:rsidRDefault="00F648E4" w:rsidP="006721D7">
      <w:pPr>
        <w:spacing w:after="0" w:line="240" w:lineRule="auto"/>
        <w:ind w:firstLine="709"/>
        <w:jc w:val="center"/>
        <w:rPr>
          <w:rFonts w:ascii="Times New Roman" w:hAnsi="Times New Roman"/>
          <w:b/>
          <w:sz w:val="28"/>
          <w:szCs w:val="28"/>
          <w:lang w:val="uk-UA"/>
        </w:rPr>
      </w:pPr>
    </w:p>
    <w:p w:rsidR="00F648E4" w:rsidRDefault="00F648E4" w:rsidP="006721D7">
      <w:pPr>
        <w:spacing w:after="0" w:line="240" w:lineRule="auto"/>
        <w:ind w:firstLine="709"/>
        <w:jc w:val="center"/>
        <w:rPr>
          <w:rFonts w:ascii="Times New Roman" w:hAnsi="Times New Roman"/>
          <w:b/>
          <w:sz w:val="28"/>
          <w:szCs w:val="28"/>
          <w:lang w:val="uk-UA"/>
        </w:rPr>
      </w:pPr>
    </w:p>
    <w:p w:rsidR="00191A76" w:rsidRDefault="00191A76" w:rsidP="006721D7">
      <w:pPr>
        <w:spacing w:after="0" w:line="240" w:lineRule="auto"/>
        <w:ind w:firstLine="709"/>
        <w:jc w:val="center"/>
        <w:rPr>
          <w:rFonts w:ascii="Times New Roman" w:hAnsi="Times New Roman"/>
          <w:b/>
          <w:sz w:val="28"/>
          <w:szCs w:val="28"/>
          <w:lang w:val="uk-UA"/>
        </w:rPr>
      </w:pPr>
      <w:r w:rsidRPr="00DD39D0">
        <w:rPr>
          <w:rFonts w:ascii="Times New Roman" w:hAnsi="Times New Roman"/>
          <w:b/>
          <w:sz w:val="28"/>
          <w:szCs w:val="28"/>
          <w:lang w:val="uk-UA"/>
        </w:rPr>
        <w:t>ВИСНОВКИ</w:t>
      </w:r>
    </w:p>
    <w:p w:rsidR="0047086B" w:rsidRPr="00DD39D0" w:rsidRDefault="0047086B" w:rsidP="006721D7">
      <w:pPr>
        <w:spacing w:after="0" w:line="240" w:lineRule="auto"/>
        <w:ind w:firstLine="709"/>
        <w:jc w:val="center"/>
        <w:rPr>
          <w:rFonts w:ascii="Times New Roman" w:hAnsi="Times New Roman"/>
          <w:b/>
          <w:sz w:val="28"/>
          <w:szCs w:val="28"/>
          <w:lang w:val="uk-UA"/>
        </w:rPr>
      </w:pPr>
    </w:p>
    <w:p w:rsidR="00191A76" w:rsidRPr="0047086B" w:rsidRDefault="00AE15C0" w:rsidP="0047086B">
      <w:pPr>
        <w:pStyle w:val="a7"/>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 сьогоднішній день гінгівіт у дітей на тлі атопічних захворювань має високу розповсюдженість та не має тенденції до зниження. </w:t>
      </w:r>
      <w:r w:rsidR="0026295B">
        <w:rPr>
          <w:rFonts w:ascii="Times New Roman" w:hAnsi="Times New Roman"/>
          <w:sz w:val="28"/>
          <w:szCs w:val="28"/>
          <w:lang w:val="uk-UA"/>
        </w:rPr>
        <w:t>Невирішеною є проблема ранньої діагностики, профілактики та лікування гінгівіту у дітей з атопічними захворюваннями. У дисертаці</w:t>
      </w:r>
      <w:r w:rsidR="00665489">
        <w:rPr>
          <w:rFonts w:ascii="Times New Roman" w:hAnsi="Times New Roman"/>
          <w:sz w:val="28"/>
          <w:szCs w:val="28"/>
          <w:lang w:val="uk-UA"/>
        </w:rPr>
        <w:t>йній роботі представлене вирішення наукової проблеми, що полягає у розробці концептуально нової програми</w:t>
      </w:r>
      <w:r w:rsidR="0026295B">
        <w:rPr>
          <w:rFonts w:ascii="Times New Roman" w:hAnsi="Times New Roman"/>
          <w:sz w:val="28"/>
          <w:szCs w:val="28"/>
          <w:lang w:val="uk-UA"/>
        </w:rPr>
        <w:t xml:space="preserve"> лікування та профілактики</w:t>
      </w:r>
      <w:r w:rsidR="0026295B" w:rsidRPr="00DD39D0">
        <w:rPr>
          <w:rFonts w:ascii="Times New Roman" w:hAnsi="Times New Roman"/>
          <w:sz w:val="28"/>
          <w:szCs w:val="28"/>
          <w:lang w:val="uk-UA"/>
        </w:rPr>
        <w:t xml:space="preserve"> гінгівіту у дітей на тлі атопічних захворювань шляхом комплексного аналізу стоматологічного статусу, виявлення прогностичних біомаркерів ініціації </w:t>
      </w:r>
      <w:r w:rsidR="0026295B">
        <w:rPr>
          <w:rFonts w:ascii="Times New Roman" w:hAnsi="Times New Roman"/>
          <w:sz w:val="28"/>
          <w:szCs w:val="28"/>
          <w:lang w:val="uk-UA"/>
        </w:rPr>
        <w:t xml:space="preserve">гінгівіту </w:t>
      </w:r>
      <w:r w:rsidR="0026295B" w:rsidRPr="00DD39D0">
        <w:rPr>
          <w:rFonts w:ascii="Times New Roman" w:hAnsi="Times New Roman"/>
          <w:sz w:val="28"/>
          <w:szCs w:val="28"/>
          <w:lang w:val="uk-UA"/>
        </w:rPr>
        <w:t>та диференційованої корекції імунометаболічних ланок</w:t>
      </w:r>
      <w:r w:rsidR="0026295B">
        <w:rPr>
          <w:rFonts w:ascii="Times New Roman" w:hAnsi="Times New Roman"/>
          <w:sz w:val="28"/>
          <w:szCs w:val="28"/>
          <w:lang w:val="uk-UA"/>
        </w:rPr>
        <w:t xml:space="preserve"> його</w:t>
      </w:r>
      <w:r w:rsidR="0026295B" w:rsidRPr="00DD39D0">
        <w:rPr>
          <w:rFonts w:ascii="Times New Roman" w:hAnsi="Times New Roman"/>
          <w:sz w:val="28"/>
          <w:szCs w:val="28"/>
          <w:lang w:val="uk-UA"/>
        </w:rPr>
        <w:t xml:space="preserve"> патогенезу.</w:t>
      </w:r>
    </w:p>
    <w:p w:rsidR="00191A76" w:rsidRPr="00DD39D0" w:rsidRDefault="00191A76" w:rsidP="006721D7">
      <w:pPr>
        <w:pStyle w:val="a7"/>
        <w:numPr>
          <w:ilvl w:val="0"/>
          <w:numId w:val="3"/>
        </w:numPr>
        <w:spacing w:after="0" w:line="240" w:lineRule="auto"/>
        <w:ind w:left="0" w:firstLine="709"/>
        <w:jc w:val="both"/>
        <w:rPr>
          <w:rFonts w:ascii="Times New Roman" w:hAnsi="Times New Roman"/>
          <w:sz w:val="28"/>
          <w:szCs w:val="28"/>
          <w:lang w:val="uk-UA"/>
        </w:rPr>
      </w:pPr>
      <w:r w:rsidRPr="00DD39D0">
        <w:rPr>
          <w:rFonts w:ascii="Times New Roman" w:hAnsi="Times New Roman"/>
          <w:sz w:val="28"/>
          <w:szCs w:val="28"/>
          <w:lang w:val="uk-UA"/>
        </w:rPr>
        <w:t>Вивчені показники клінічного стоматологічного статусу у дітей з гі</w:t>
      </w:r>
      <w:r w:rsidR="00070397">
        <w:rPr>
          <w:rFonts w:ascii="Times New Roman" w:hAnsi="Times New Roman"/>
          <w:sz w:val="28"/>
          <w:szCs w:val="28"/>
          <w:lang w:val="uk-UA"/>
        </w:rPr>
        <w:t>нгівітом та провідні</w:t>
      </w:r>
      <w:r w:rsidRPr="00DD39D0">
        <w:rPr>
          <w:rFonts w:ascii="Times New Roman" w:hAnsi="Times New Roman"/>
          <w:sz w:val="28"/>
          <w:szCs w:val="28"/>
          <w:lang w:val="uk-UA"/>
        </w:rPr>
        <w:t xml:space="preserve"> чинники розвитку гінгівіту у дітей на тлі атопічних захворювань. Встановлено, що у дітей з атопічними захворюваннями ступінь запалення тканин пародонту за індексом </w:t>
      </w:r>
      <w:r w:rsidRPr="00DD39D0">
        <w:rPr>
          <w:rFonts w:ascii="Times New Roman" w:hAnsi="Times New Roman"/>
          <w:sz w:val="28"/>
          <w:szCs w:val="28"/>
        </w:rPr>
        <w:t>SBI</w:t>
      </w:r>
      <w:r w:rsidRPr="00DD39D0">
        <w:rPr>
          <w:rFonts w:ascii="Times New Roman" w:hAnsi="Times New Roman"/>
          <w:sz w:val="28"/>
          <w:szCs w:val="28"/>
          <w:lang w:val="uk-UA"/>
        </w:rPr>
        <w:t xml:space="preserve"> та РМА достовірно вищий (</w:t>
      </w:r>
      <w:r w:rsidRPr="00DD39D0">
        <w:rPr>
          <w:rFonts w:ascii="Times New Roman" w:hAnsi="Times New Roman"/>
          <w:sz w:val="28"/>
          <w:szCs w:val="28"/>
        </w:rPr>
        <w:t>SBI</w:t>
      </w:r>
      <w:r w:rsidRPr="00DD39D0">
        <w:rPr>
          <w:rFonts w:ascii="Times New Roman" w:hAnsi="Times New Roman"/>
          <w:sz w:val="28"/>
          <w:szCs w:val="28"/>
          <w:lang w:val="uk-UA"/>
        </w:rPr>
        <w:t xml:space="preserve"> дорівнював 2.11 ± 0.22 бали та РМА дорівнював 21.14 ± 1.86 %), ніж у дітей без соматичної патології, де </w:t>
      </w:r>
      <w:r w:rsidRPr="00DD39D0">
        <w:rPr>
          <w:rFonts w:ascii="Times New Roman" w:hAnsi="Times New Roman"/>
          <w:sz w:val="28"/>
          <w:szCs w:val="28"/>
        </w:rPr>
        <w:t>SBI</w:t>
      </w:r>
      <w:r w:rsidRPr="00DD39D0">
        <w:rPr>
          <w:rFonts w:ascii="Times New Roman" w:hAnsi="Times New Roman"/>
          <w:sz w:val="28"/>
          <w:szCs w:val="28"/>
          <w:lang w:val="uk-UA"/>
        </w:rPr>
        <w:t xml:space="preserve"> знаходився на рівні 0.48 ± 0.21 бали, РМА - на рівні 6.03 ± 2.56 %. Також спостерігали зміни у властивостях ротової рідини, які полягали у підвищенні кислотності до рівня 4.94 ± 0.49 та збільшенні рівню муцину до 5.76 ± 0.82 г/л в середньому серед груп дітей з атопією. Встановлено, що у групі пацієнтів з атопічними захворюваннями при мінімальних значеннях показників, що характеризують запалення у тканинах пародонту, вже спостерігається імунометаболічний дисбаланс, що дає змогу визначити стадію передхвороби у даного контингенту дітей. Встановлено, що незалежно від рівня </w:t>
      </w:r>
      <w:r w:rsidRPr="00DD39D0">
        <w:rPr>
          <w:rFonts w:ascii="Times New Roman" w:hAnsi="Times New Roman"/>
          <w:sz w:val="28"/>
          <w:szCs w:val="28"/>
          <w:lang w:val="uk-UA"/>
        </w:rPr>
        <w:lastRenderedPageBreak/>
        <w:t xml:space="preserve">запалення, спостерігається зниження рівня імуноглобулінів класу А, </w:t>
      </w:r>
      <w:r w:rsidRPr="00DD39D0">
        <w:rPr>
          <w:rFonts w:ascii="Times New Roman" w:hAnsi="Times New Roman"/>
          <w:sz w:val="28"/>
          <w:szCs w:val="28"/>
        </w:rPr>
        <w:t>G</w:t>
      </w:r>
      <w:r w:rsidRPr="00DD39D0">
        <w:rPr>
          <w:rFonts w:ascii="Times New Roman" w:hAnsi="Times New Roman"/>
          <w:sz w:val="28"/>
          <w:szCs w:val="28"/>
          <w:lang w:val="uk-UA"/>
        </w:rPr>
        <w:t>, М та зниження активності СОД, зростання концентрації МДА, знижується вміст каталази та глутатіону. Провідними етіологічними чинниками хронічного гінгівіту у дітей з атопічними захворюваннями є наявність імунометаболічного дисбалансу.</w:t>
      </w:r>
    </w:p>
    <w:p w:rsidR="00191A76" w:rsidRPr="00DD39D0" w:rsidRDefault="008775D1" w:rsidP="008775D1">
      <w:pPr>
        <w:pStyle w:val="a7"/>
        <w:numPr>
          <w:ilvl w:val="0"/>
          <w:numId w:val="3"/>
        </w:numPr>
        <w:spacing w:after="0" w:line="240" w:lineRule="auto"/>
        <w:ind w:left="0" w:firstLine="709"/>
        <w:jc w:val="both"/>
        <w:rPr>
          <w:rFonts w:ascii="Times New Roman" w:hAnsi="Times New Roman"/>
          <w:sz w:val="28"/>
          <w:szCs w:val="28"/>
          <w:lang w:val="uk-UA"/>
        </w:rPr>
      </w:pPr>
      <w:r w:rsidRPr="008775D1">
        <w:rPr>
          <w:rFonts w:ascii="Times New Roman" w:hAnsi="Times New Roman"/>
          <w:sz w:val="28"/>
          <w:szCs w:val="28"/>
          <w:lang w:val="uk-UA"/>
        </w:rPr>
        <w:t>При</w:t>
      </w:r>
      <w:r w:rsidR="00407774">
        <w:rPr>
          <w:rFonts w:ascii="Times New Roman" w:hAnsi="Times New Roman"/>
          <w:sz w:val="28"/>
          <w:szCs w:val="28"/>
          <w:lang w:val="uk-UA"/>
        </w:rPr>
        <w:t xml:space="preserve"> моделюванні атопічних процесів в експерименті на тваринах</w:t>
      </w:r>
      <w:r w:rsidRPr="008775D1">
        <w:rPr>
          <w:rFonts w:ascii="Times New Roman" w:hAnsi="Times New Roman"/>
          <w:sz w:val="28"/>
          <w:szCs w:val="28"/>
          <w:lang w:val="uk-UA"/>
        </w:rPr>
        <w:t xml:space="preserve"> морфологічна картина</w:t>
      </w:r>
      <w:r w:rsidR="00407774">
        <w:rPr>
          <w:rFonts w:ascii="Times New Roman" w:hAnsi="Times New Roman"/>
          <w:sz w:val="28"/>
          <w:szCs w:val="28"/>
          <w:lang w:val="uk-UA"/>
        </w:rPr>
        <w:t xml:space="preserve"> </w:t>
      </w:r>
      <w:r w:rsidR="00407774" w:rsidRPr="008775D1">
        <w:rPr>
          <w:rFonts w:ascii="Times New Roman" w:hAnsi="Times New Roman"/>
          <w:sz w:val="28"/>
          <w:szCs w:val="28"/>
          <w:lang w:val="uk-UA"/>
        </w:rPr>
        <w:t>в ротовій порожнині</w:t>
      </w:r>
      <w:r w:rsidRPr="008775D1">
        <w:rPr>
          <w:rFonts w:ascii="Times New Roman" w:hAnsi="Times New Roman"/>
          <w:sz w:val="28"/>
          <w:szCs w:val="28"/>
          <w:lang w:val="uk-UA"/>
        </w:rPr>
        <w:t xml:space="preserve"> характеризується запальними, дистрофічними, дисциркуляторними змінами, які супроводжуються порушенням обміну синтази оксиду азоту. Останнє </w:t>
      </w:r>
      <w:r w:rsidR="00070397">
        <w:rPr>
          <w:rFonts w:ascii="Times New Roman" w:hAnsi="Times New Roman"/>
          <w:sz w:val="28"/>
          <w:szCs w:val="28"/>
          <w:lang w:val="uk-UA"/>
        </w:rPr>
        <w:t xml:space="preserve">проявляється </w:t>
      </w:r>
      <w:r w:rsidRPr="008775D1">
        <w:rPr>
          <w:rFonts w:ascii="Times New Roman" w:hAnsi="Times New Roman"/>
          <w:sz w:val="28"/>
          <w:szCs w:val="28"/>
          <w:lang w:val="uk-UA"/>
        </w:rPr>
        <w:t>зниженням синтезу ендотеліальної фракції синтази оксиду азоту у стінках судин до 0,79±0,11 ум.од</w:t>
      </w:r>
      <w:r w:rsidR="00070397">
        <w:rPr>
          <w:rFonts w:ascii="Times New Roman" w:hAnsi="Times New Roman"/>
          <w:sz w:val="28"/>
          <w:szCs w:val="28"/>
          <w:lang w:val="uk-UA"/>
        </w:rPr>
        <w:t>., підвищенням активності індуци</w:t>
      </w:r>
      <w:r w:rsidRPr="008775D1">
        <w:rPr>
          <w:rFonts w:ascii="Times New Roman" w:hAnsi="Times New Roman"/>
          <w:sz w:val="28"/>
          <w:szCs w:val="28"/>
          <w:lang w:val="uk-UA"/>
        </w:rPr>
        <w:t>бельної синтази оксиду азоту більш ніж в два рази, підвищенням активності ендотеліальної си</w:t>
      </w:r>
      <w:r w:rsidR="00334803">
        <w:rPr>
          <w:rFonts w:ascii="Times New Roman" w:hAnsi="Times New Roman"/>
          <w:sz w:val="28"/>
          <w:szCs w:val="28"/>
          <w:lang w:val="uk-UA"/>
        </w:rPr>
        <w:t>нтази оксиду азоту у позасудинно</w:t>
      </w:r>
      <w:r w:rsidRPr="008775D1">
        <w:rPr>
          <w:rFonts w:ascii="Times New Roman" w:hAnsi="Times New Roman"/>
          <w:sz w:val="28"/>
          <w:szCs w:val="28"/>
          <w:lang w:val="uk-UA"/>
        </w:rPr>
        <w:t>м</w:t>
      </w:r>
      <w:r w:rsidR="00334803">
        <w:rPr>
          <w:rFonts w:ascii="Times New Roman" w:hAnsi="Times New Roman"/>
          <w:sz w:val="28"/>
          <w:szCs w:val="28"/>
          <w:lang w:val="uk-UA"/>
        </w:rPr>
        <w:t>у</w:t>
      </w:r>
      <w:r w:rsidRPr="008775D1">
        <w:rPr>
          <w:rFonts w:ascii="Times New Roman" w:hAnsi="Times New Roman"/>
          <w:sz w:val="28"/>
          <w:szCs w:val="28"/>
          <w:lang w:val="uk-UA"/>
        </w:rPr>
        <w:t xml:space="preserve"> просторі до 0,27±0,04 ум.од. Порушення обміну синтази оксиду аз</w:t>
      </w:r>
      <w:r w:rsidR="00AA13EF">
        <w:rPr>
          <w:rFonts w:ascii="Times New Roman" w:hAnsi="Times New Roman"/>
          <w:sz w:val="28"/>
          <w:szCs w:val="28"/>
          <w:lang w:val="uk-UA"/>
        </w:rPr>
        <w:t xml:space="preserve">оту </w:t>
      </w:r>
      <w:r w:rsidRPr="008775D1">
        <w:rPr>
          <w:rFonts w:ascii="Times New Roman" w:hAnsi="Times New Roman"/>
          <w:sz w:val="28"/>
          <w:szCs w:val="28"/>
          <w:lang w:val="uk-UA"/>
        </w:rPr>
        <w:t>пов’язано з накопиченням запальних клітин</w:t>
      </w:r>
      <w:r w:rsidR="00AA13EF">
        <w:rPr>
          <w:rFonts w:ascii="Times New Roman" w:hAnsi="Times New Roman"/>
          <w:sz w:val="28"/>
          <w:szCs w:val="28"/>
          <w:lang w:val="uk-UA"/>
        </w:rPr>
        <w:t xml:space="preserve">, </w:t>
      </w:r>
      <w:r w:rsidRPr="008775D1">
        <w:rPr>
          <w:rFonts w:ascii="Times New Roman" w:hAnsi="Times New Roman"/>
          <w:sz w:val="28"/>
          <w:szCs w:val="28"/>
          <w:lang w:val="uk-UA"/>
        </w:rPr>
        <w:t>зокрема</w:t>
      </w:r>
      <w:r w:rsidR="00AA13EF">
        <w:rPr>
          <w:rFonts w:ascii="Times New Roman" w:hAnsi="Times New Roman"/>
          <w:sz w:val="28"/>
          <w:szCs w:val="28"/>
          <w:lang w:val="uk-UA"/>
        </w:rPr>
        <w:t>,</w:t>
      </w:r>
      <w:r w:rsidRPr="008775D1">
        <w:rPr>
          <w:rFonts w:ascii="Times New Roman" w:hAnsi="Times New Roman"/>
          <w:sz w:val="28"/>
          <w:szCs w:val="28"/>
          <w:lang w:val="uk-UA"/>
        </w:rPr>
        <w:t xml:space="preserve"> кількість клітинних елементів імунопозитивних до CD23 в 7,7 раз вище п</w:t>
      </w:r>
      <w:r>
        <w:rPr>
          <w:rFonts w:ascii="Times New Roman" w:hAnsi="Times New Roman"/>
          <w:sz w:val="28"/>
          <w:szCs w:val="28"/>
          <w:lang w:val="uk-UA"/>
        </w:rPr>
        <w:t>ри наявності атопічного процесу</w:t>
      </w:r>
      <w:r w:rsidRPr="008775D1">
        <w:rPr>
          <w:rFonts w:ascii="Times New Roman" w:hAnsi="Times New Roman"/>
          <w:sz w:val="28"/>
          <w:szCs w:val="28"/>
          <w:lang w:val="uk-UA"/>
        </w:rPr>
        <w:t xml:space="preserve">. Застосування запропонованої методики лікування дозволяє поліпшити стан мікроциркуляторного русла слизової оболонки, що проявляється у відновленні констрікторно-ділататорних механізмів судинного тонусу. </w:t>
      </w:r>
      <w:r w:rsidR="00191A76" w:rsidRPr="00DD39D0">
        <w:rPr>
          <w:rFonts w:ascii="Times New Roman" w:hAnsi="Times New Roman"/>
          <w:sz w:val="28"/>
          <w:szCs w:val="28"/>
          <w:lang w:val="uk-UA"/>
        </w:rPr>
        <w:t xml:space="preserve"> </w:t>
      </w:r>
    </w:p>
    <w:p w:rsidR="00191A76" w:rsidRPr="00DD39D0" w:rsidRDefault="00191A76" w:rsidP="006721D7">
      <w:pPr>
        <w:pStyle w:val="a7"/>
        <w:numPr>
          <w:ilvl w:val="0"/>
          <w:numId w:val="3"/>
        </w:numPr>
        <w:spacing w:after="0" w:line="240" w:lineRule="auto"/>
        <w:ind w:left="0" w:firstLine="709"/>
        <w:jc w:val="both"/>
        <w:rPr>
          <w:rFonts w:ascii="Times New Roman" w:hAnsi="Times New Roman"/>
          <w:sz w:val="28"/>
          <w:szCs w:val="28"/>
          <w:lang w:val="uk-UA"/>
        </w:rPr>
      </w:pPr>
      <w:r w:rsidRPr="00DD39D0">
        <w:rPr>
          <w:rFonts w:ascii="Times New Roman" w:hAnsi="Times New Roman"/>
          <w:sz w:val="28"/>
          <w:szCs w:val="28"/>
          <w:lang w:val="uk-UA"/>
        </w:rPr>
        <w:t>Побудовано прогностичну модель запальних захворювань пародонту на основі виділених у процесі дослідження найбільш інформативних б</w:t>
      </w:r>
      <w:r w:rsidR="0030177D">
        <w:rPr>
          <w:rFonts w:ascii="Times New Roman" w:hAnsi="Times New Roman"/>
          <w:sz w:val="28"/>
          <w:szCs w:val="28"/>
          <w:lang w:val="uk-UA"/>
        </w:rPr>
        <w:t>іомаркерів запалення та</w:t>
      </w:r>
      <w:r w:rsidRPr="00DD39D0">
        <w:rPr>
          <w:rFonts w:ascii="Times New Roman" w:hAnsi="Times New Roman"/>
          <w:sz w:val="28"/>
          <w:szCs w:val="28"/>
          <w:lang w:val="uk-UA"/>
        </w:rPr>
        <w:t xml:space="preserve"> рівняння лінійної регресії, за допомогою якого можливе цифрове визначення </w:t>
      </w:r>
      <w:r w:rsidR="00F40353">
        <w:rPr>
          <w:rFonts w:ascii="Times New Roman" w:hAnsi="Times New Roman"/>
          <w:sz w:val="28"/>
          <w:szCs w:val="28"/>
          <w:lang w:val="uk-UA"/>
        </w:rPr>
        <w:t>прогностичних</w:t>
      </w:r>
      <w:r w:rsidRPr="00DD39D0">
        <w:rPr>
          <w:rFonts w:ascii="Times New Roman" w:hAnsi="Times New Roman"/>
          <w:sz w:val="28"/>
          <w:szCs w:val="28"/>
          <w:lang w:val="uk-UA"/>
        </w:rPr>
        <w:t xml:space="preserve"> значень запалення тканин пародонту при здійсненні профілактичних та лікувальних заходів. Визначено коефіцієнти рівняння лінійної регресії залежності ступеня запалення тканини пародонту за рівнем індексу кровоточивості</w:t>
      </w:r>
      <w:r w:rsidR="00AA13EF">
        <w:rPr>
          <w:rFonts w:ascii="Times New Roman" w:hAnsi="Times New Roman"/>
          <w:sz w:val="28"/>
          <w:szCs w:val="28"/>
          <w:lang w:val="uk-UA"/>
        </w:rPr>
        <w:t xml:space="preserve"> </w:t>
      </w:r>
      <w:r w:rsidR="00AA13EF">
        <w:rPr>
          <w:rFonts w:ascii="Times New Roman" w:hAnsi="Times New Roman"/>
          <w:sz w:val="28"/>
          <w:szCs w:val="28"/>
        </w:rPr>
        <w:t>SBI</w:t>
      </w:r>
      <w:r w:rsidR="00AA13EF">
        <w:rPr>
          <w:rFonts w:ascii="Times New Roman" w:hAnsi="Times New Roman"/>
          <w:sz w:val="28"/>
          <w:szCs w:val="28"/>
          <w:lang w:val="uk-UA"/>
        </w:rPr>
        <w:t xml:space="preserve"> </w:t>
      </w:r>
      <w:r w:rsidRPr="00DD39D0">
        <w:rPr>
          <w:rFonts w:ascii="Times New Roman" w:hAnsi="Times New Roman"/>
          <w:sz w:val="28"/>
          <w:szCs w:val="28"/>
          <w:lang w:val="uk-UA"/>
        </w:rPr>
        <w:t xml:space="preserve">від рівню секреторного імуноглобуліну А - мінус 88,7 та 50,6; від рівню імуноглобуліну </w:t>
      </w:r>
      <w:r w:rsidRPr="00DD39D0">
        <w:rPr>
          <w:rFonts w:ascii="Times New Roman" w:hAnsi="Times New Roman"/>
          <w:sz w:val="28"/>
          <w:szCs w:val="28"/>
        </w:rPr>
        <w:t>G</w:t>
      </w:r>
      <w:r w:rsidR="00AA13EF">
        <w:rPr>
          <w:rFonts w:ascii="Times New Roman" w:hAnsi="Times New Roman"/>
          <w:sz w:val="28"/>
          <w:szCs w:val="28"/>
          <w:lang w:val="uk-UA"/>
        </w:rPr>
        <w:t xml:space="preserve"> - мінус 0,32 та 0,98.</w:t>
      </w:r>
      <w:r w:rsidRPr="00DD39D0">
        <w:rPr>
          <w:rFonts w:ascii="Times New Roman" w:hAnsi="Times New Roman"/>
          <w:sz w:val="28"/>
          <w:szCs w:val="28"/>
          <w:lang w:val="uk-UA"/>
        </w:rPr>
        <w:t xml:space="preserve"> Визначено коефіцієнти рівняння лінійної регресії, яке характеризує залежність глутатіону як найбільш інформативного біомаркера, який характеризує ступінь запалення ясен, </w:t>
      </w:r>
      <w:r w:rsidR="00AA13EF">
        <w:rPr>
          <w:rFonts w:ascii="Times New Roman" w:hAnsi="Times New Roman"/>
          <w:sz w:val="28"/>
          <w:szCs w:val="28"/>
          <w:lang w:val="uk-UA"/>
        </w:rPr>
        <w:t xml:space="preserve">які дорівнюють </w:t>
      </w:r>
      <w:r w:rsidRPr="00DD39D0">
        <w:rPr>
          <w:rFonts w:ascii="Times New Roman" w:hAnsi="Times New Roman"/>
          <w:sz w:val="28"/>
          <w:szCs w:val="28"/>
          <w:lang w:val="uk-UA"/>
        </w:rPr>
        <w:t>мінус 2.49 та 40.97.</w:t>
      </w:r>
    </w:p>
    <w:p w:rsidR="00191A76" w:rsidRPr="00DD39D0" w:rsidRDefault="0030177D" w:rsidP="006721D7">
      <w:pPr>
        <w:pStyle w:val="a7"/>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Встановлено найбільш інформативні біомаркери запалення тканин пародонту у дітей з гінгівітом – рівень відновленого глутатіону, імуноглобуліну </w:t>
      </w:r>
      <w:r>
        <w:rPr>
          <w:rFonts w:ascii="Times New Roman" w:hAnsi="Times New Roman"/>
          <w:sz w:val="28"/>
          <w:szCs w:val="28"/>
        </w:rPr>
        <w:t>G</w:t>
      </w:r>
      <w:r>
        <w:rPr>
          <w:rFonts w:ascii="Times New Roman" w:hAnsi="Times New Roman"/>
          <w:sz w:val="28"/>
          <w:szCs w:val="28"/>
          <w:lang w:val="uk-UA"/>
        </w:rPr>
        <w:t>, імуноглобуліну А. Н</w:t>
      </w:r>
      <w:r w:rsidR="00191A76" w:rsidRPr="00DD39D0">
        <w:rPr>
          <w:rFonts w:ascii="Times New Roman" w:hAnsi="Times New Roman"/>
          <w:sz w:val="28"/>
          <w:szCs w:val="28"/>
          <w:lang w:val="uk-UA"/>
        </w:rPr>
        <w:t xml:space="preserve">айбільш інформативним біомаркером, який характеризує антиоксидантний статус та дає змогу прогнозувати ступінь запалення тканин пародонту є рівень </w:t>
      </w:r>
      <w:r w:rsidR="00DB778B" w:rsidRPr="00DD39D0">
        <w:rPr>
          <w:rFonts w:ascii="Times New Roman" w:hAnsi="Times New Roman"/>
          <w:sz w:val="28"/>
          <w:szCs w:val="28"/>
          <w:lang w:val="uk-UA"/>
        </w:rPr>
        <w:t xml:space="preserve">відновленого </w:t>
      </w:r>
      <w:r w:rsidR="00191A76" w:rsidRPr="00DD39D0">
        <w:rPr>
          <w:rFonts w:ascii="Times New Roman" w:hAnsi="Times New Roman"/>
          <w:sz w:val="28"/>
          <w:szCs w:val="28"/>
          <w:lang w:val="uk-UA"/>
        </w:rPr>
        <w:t xml:space="preserve">глутатіону у ротовій рідині, коефіцієнт детермінації складає 91%. </w:t>
      </w:r>
      <w:r>
        <w:rPr>
          <w:rFonts w:ascii="Times New Roman" w:hAnsi="Times New Roman"/>
          <w:sz w:val="28"/>
          <w:szCs w:val="28"/>
          <w:lang w:val="uk-UA"/>
        </w:rPr>
        <w:t>К</w:t>
      </w:r>
      <w:r w:rsidR="00191A76" w:rsidRPr="00DD39D0">
        <w:rPr>
          <w:rFonts w:ascii="Times New Roman" w:hAnsi="Times New Roman"/>
          <w:sz w:val="28"/>
          <w:szCs w:val="28"/>
          <w:lang w:val="uk-UA"/>
        </w:rPr>
        <w:t xml:space="preserve">оефіцієнт детермінації залежності рівню запалення тканин пародонту (за індексом </w:t>
      </w:r>
      <w:r w:rsidR="00191A76" w:rsidRPr="00DD39D0">
        <w:rPr>
          <w:rFonts w:ascii="Times New Roman" w:hAnsi="Times New Roman"/>
          <w:sz w:val="28"/>
          <w:szCs w:val="28"/>
        </w:rPr>
        <w:t>SBI</w:t>
      </w:r>
      <w:r w:rsidR="00191A76" w:rsidRPr="00DD39D0">
        <w:rPr>
          <w:rFonts w:ascii="Times New Roman" w:hAnsi="Times New Roman"/>
          <w:sz w:val="28"/>
          <w:szCs w:val="28"/>
          <w:lang w:val="uk-UA"/>
        </w:rPr>
        <w:t>) від рівня секреторного ім</w:t>
      </w:r>
      <w:r w:rsidR="004D4BC2" w:rsidRPr="00DD39D0">
        <w:rPr>
          <w:rFonts w:ascii="Times New Roman" w:hAnsi="Times New Roman"/>
          <w:sz w:val="28"/>
          <w:szCs w:val="28"/>
          <w:lang w:val="uk-UA"/>
        </w:rPr>
        <w:t>уноглобуліну А дорівнює 87</w:t>
      </w:r>
      <w:r w:rsidR="00191A76" w:rsidRPr="00DD39D0">
        <w:rPr>
          <w:rFonts w:ascii="Times New Roman" w:hAnsi="Times New Roman"/>
          <w:sz w:val="28"/>
          <w:szCs w:val="28"/>
          <w:lang w:val="uk-UA"/>
        </w:rPr>
        <w:t xml:space="preserve"> %, від рівня імуноглобуліну </w:t>
      </w:r>
      <w:r w:rsidR="00191A76" w:rsidRPr="00DD39D0">
        <w:rPr>
          <w:rFonts w:ascii="Times New Roman" w:hAnsi="Times New Roman"/>
          <w:sz w:val="28"/>
          <w:szCs w:val="28"/>
        </w:rPr>
        <w:t>G</w:t>
      </w:r>
      <w:r w:rsidR="00191A76" w:rsidRPr="00DD39D0">
        <w:rPr>
          <w:rFonts w:ascii="Times New Roman" w:hAnsi="Times New Roman"/>
          <w:sz w:val="28"/>
          <w:szCs w:val="28"/>
          <w:lang w:val="uk-UA"/>
        </w:rPr>
        <w:t xml:space="preserve"> – 82 %. Дані біомаркери можуть бути використані для прогнозу запальних захворювань пародонту у пародонтологічно здорових дітей</w:t>
      </w:r>
      <w:r>
        <w:rPr>
          <w:rFonts w:ascii="Times New Roman" w:hAnsi="Times New Roman"/>
          <w:sz w:val="28"/>
          <w:szCs w:val="28"/>
          <w:lang w:val="uk-UA"/>
        </w:rPr>
        <w:t xml:space="preserve"> з атопічними захворюваннями</w:t>
      </w:r>
      <w:r w:rsidR="00191A76" w:rsidRPr="00DD39D0">
        <w:rPr>
          <w:rFonts w:ascii="Times New Roman" w:hAnsi="Times New Roman"/>
          <w:sz w:val="28"/>
          <w:szCs w:val="28"/>
          <w:lang w:val="uk-UA"/>
        </w:rPr>
        <w:t>.</w:t>
      </w:r>
    </w:p>
    <w:p w:rsidR="0030177D" w:rsidRDefault="007818E7" w:rsidP="007818E7">
      <w:pPr>
        <w:pStyle w:val="a7"/>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7818E7">
        <w:rPr>
          <w:rFonts w:ascii="Times New Roman" w:hAnsi="Times New Roman"/>
          <w:sz w:val="28"/>
          <w:szCs w:val="28"/>
          <w:lang w:val="uk-UA"/>
        </w:rPr>
        <w:t>ацієнти з атопічними захворюваннями та різними генотипами за rs1801270 поліморфізмом мають різний характер імунної відповіді (з</w:t>
      </w:r>
      <w:r w:rsidR="00334803">
        <w:rPr>
          <w:rFonts w:ascii="Times New Roman" w:hAnsi="Times New Roman"/>
          <w:sz w:val="28"/>
          <w:szCs w:val="28"/>
          <w:lang w:val="uk-UA"/>
        </w:rPr>
        <w:t xml:space="preserve">а </w:t>
      </w:r>
      <w:r w:rsidR="00334803">
        <w:rPr>
          <w:rFonts w:ascii="Times New Roman" w:hAnsi="Times New Roman"/>
          <w:sz w:val="28"/>
          <w:szCs w:val="28"/>
          <w:lang w:val="uk-UA"/>
        </w:rPr>
        <w:lastRenderedPageBreak/>
        <w:t>імуноглобулі</w:t>
      </w:r>
      <w:r w:rsidRPr="007818E7">
        <w:rPr>
          <w:rFonts w:ascii="Times New Roman" w:hAnsi="Times New Roman"/>
          <w:sz w:val="28"/>
          <w:szCs w:val="28"/>
          <w:lang w:val="uk-UA"/>
        </w:rPr>
        <w:t>нами А, G, M); зокрема гомозиготи АА тяжіють до більш агре</w:t>
      </w:r>
      <w:r>
        <w:rPr>
          <w:rFonts w:ascii="Times New Roman" w:hAnsi="Times New Roman"/>
          <w:sz w:val="28"/>
          <w:szCs w:val="28"/>
          <w:lang w:val="uk-UA"/>
        </w:rPr>
        <w:t>сивного протікання гінгівіту</w:t>
      </w:r>
      <w:r w:rsidR="00191A76" w:rsidRPr="0030177D">
        <w:rPr>
          <w:rFonts w:ascii="Times New Roman" w:hAnsi="Times New Roman"/>
          <w:sz w:val="28"/>
          <w:szCs w:val="28"/>
          <w:lang w:val="uk-UA"/>
        </w:rPr>
        <w:t>. У дітей з атопічними захворюваннями виявлено генетичні предиктори розвитку стоматологічних захворювань, а саме для представник</w:t>
      </w:r>
      <w:r>
        <w:rPr>
          <w:rFonts w:ascii="Times New Roman" w:hAnsi="Times New Roman"/>
          <w:sz w:val="28"/>
          <w:szCs w:val="28"/>
          <w:lang w:val="uk-UA"/>
        </w:rPr>
        <w:t>ів даної групи характерні</w:t>
      </w:r>
      <w:r w:rsidR="00191A76" w:rsidRPr="0030177D">
        <w:rPr>
          <w:rFonts w:ascii="Times New Roman" w:hAnsi="Times New Roman"/>
          <w:sz w:val="28"/>
          <w:szCs w:val="28"/>
          <w:lang w:val="uk-UA"/>
        </w:rPr>
        <w:t xml:space="preserve"> «довгі» алелі з 7-ма, 8-ма або 9-ма повторами в інтроні 36 гена </w:t>
      </w:r>
      <w:r w:rsidR="00191A76" w:rsidRPr="0030177D">
        <w:rPr>
          <w:rFonts w:ascii="Times New Roman" w:hAnsi="Times New Roman"/>
          <w:sz w:val="28"/>
          <w:szCs w:val="28"/>
        </w:rPr>
        <w:t>MUC</w:t>
      </w:r>
      <w:r w:rsidR="00191A76" w:rsidRPr="0030177D">
        <w:rPr>
          <w:rFonts w:ascii="Times New Roman" w:hAnsi="Times New Roman"/>
          <w:sz w:val="28"/>
          <w:szCs w:val="28"/>
          <w:lang w:val="uk-UA"/>
        </w:rPr>
        <w:t>5</w:t>
      </w:r>
      <w:r w:rsidR="00191A76" w:rsidRPr="0030177D">
        <w:rPr>
          <w:rFonts w:ascii="Times New Roman" w:hAnsi="Times New Roman"/>
          <w:sz w:val="28"/>
          <w:szCs w:val="28"/>
        </w:rPr>
        <w:t>B</w:t>
      </w:r>
      <w:r w:rsidR="00051F01">
        <w:rPr>
          <w:rFonts w:ascii="Times New Roman" w:hAnsi="Times New Roman"/>
          <w:sz w:val="28"/>
          <w:szCs w:val="28"/>
          <w:lang w:val="uk-UA"/>
        </w:rPr>
        <w:t xml:space="preserve"> (поширені у 79% випадків). </w:t>
      </w:r>
      <w:r w:rsidRPr="007818E7">
        <w:rPr>
          <w:rFonts w:ascii="Times New Roman" w:hAnsi="Times New Roman"/>
          <w:sz w:val="28"/>
          <w:szCs w:val="28"/>
          <w:lang w:val="uk-UA"/>
        </w:rPr>
        <w:t>Дані алелі можна використовувати як маркери групи ризику щодо гінгівіту на</w:t>
      </w:r>
      <w:r w:rsidR="00AA13EF">
        <w:rPr>
          <w:rFonts w:ascii="Times New Roman" w:hAnsi="Times New Roman"/>
          <w:sz w:val="28"/>
          <w:szCs w:val="28"/>
          <w:lang w:val="uk-UA"/>
        </w:rPr>
        <w:t xml:space="preserve"> тлі атопічних захворювань, або</w:t>
      </w:r>
      <w:r w:rsidRPr="007818E7">
        <w:rPr>
          <w:rFonts w:ascii="Times New Roman" w:hAnsi="Times New Roman"/>
          <w:sz w:val="28"/>
          <w:szCs w:val="28"/>
          <w:lang w:val="uk-UA"/>
        </w:rPr>
        <w:t xml:space="preserve"> як додатковий діагностичний тест для цієї групи захворювань.</w:t>
      </w:r>
    </w:p>
    <w:p w:rsidR="00191A76" w:rsidRPr="0030177D" w:rsidRDefault="00051F01" w:rsidP="00AF263D">
      <w:pPr>
        <w:pStyle w:val="a7"/>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Диференційована</w:t>
      </w:r>
      <w:r w:rsidRPr="00051F01">
        <w:rPr>
          <w:rFonts w:ascii="Times New Roman" w:hAnsi="Times New Roman"/>
          <w:sz w:val="28"/>
          <w:szCs w:val="28"/>
          <w:lang w:val="uk-UA"/>
        </w:rPr>
        <w:t xml:space="preserve"> програма лікувально-профілактичних заходів на основі патогенетичної корекції у дітей на тлі атопічних </w:t>
      </w:r>
      <w:r w:rsidR="00407774">
        <w:rPr>
          <w:rFonts w:ascii="Times New Roman" w:hAnsi="Times New Roman"/>
          <w:sz w:val="28"/>
          <w:szCs w:val="28"/>
          <w:lang w:val="uk-UA"/>
        </w:rPr>
        <w:t>захворювань полягала у</w:t>
      </w:r>
      <w:r w:rsidRPr="00051F01">
        <w:rPr>
          <w:rFonts w:ascii="Times New Roman" w:hAnsi="Times New Roman"/>
          <w:sz w:val="28"/>
          <w:szCs w:val="28"/>
          <w:lang w:val="uk-UA"/>
        </w:rPr>
        <w:t xml:space="preserve"> прийом</w:t>
      </w:r>
      <w:r w:rsidR="00407774">
        <w:rPr>
          <w:rFonts w:ascii="Times New Roman" w:hAnsi="Times New Roman"/>
          <w:sz w:val="28"/>
          <w:szCs w:val="28"/>
          <w:lang w:val="uk-UA"/>
        </w:rPr>
        <w:t>і</w:t>
      </w:r>
      <w:r w:rsidRPr="00051F01">
        <w:rPr>
          <w:rFonts w:ascii="Times New Roman" w:hAnsi="Times New Roman"/>
          <w:sz w:val="28"/>
          <w:szCs w:val="28"/>
          <w:lang w:val="uk-UA"/>
        </w:rPr>
        <w:t xml:space="preserve"> імуномодулюючих препаратів при зниженні рівнів імуноглобулінів</w:t>
      </w:r>
      <w:r>
        <w:rPr>
          <w:rFonts w:ascii="Times New Roman" w:hAnsi="Times New Roman"/>
          <w:sz w:val="28"/>
          <w:szCs w:val="28"/>
          <w:lang w:val="uk-UA"/>
        </w:rPr>
        <w:t xml:space="preserve"> та прийом</w:t>
      </w:r>
      <w:r w:rsidR="00407774">
        <w:rPr>
          <w:rFonts w:ascii="Times New Roman" w:hAnsi="Times New Roman"/>
          <w:sz w:val="28"/>
          <w:szCs w:val="28"/>
          <w:lang w:val="uk-UA"/>
        </w:rPr>
        <w:t>і</w:t>
      </w:r>
      <w:r>
        <w:rPr>
          <w:rFonts w:ascii="Times New Roman" w:hAnsi="Times New Roman"/>
          <w:sz w:val="28"/>
          <w:szCs w:val="28"/>
          <w:lang w:val="uk-UA"/>
        </w:rPr>
        <w:t xml:space="preserve"> вітамінно-антиоксидантного комплексу при порушенні антиоксидантної рівноваги, а також корекцію</w:t>
      </w:r>
      <w:r w:rsidRPr="0030177D">
        <w:rPr>
          <w:rFonts w:ascii="Times New Roman" w:hAnsi="Times New Roman"/>
          <w:sz w:val="28"/>
          <w:szCs w:val="28"/>
          <w:lang w:val="uk-UA"/>
        </w:rPr>
        <w:t xml:space="preserve"> схеми індивідуальної гігієни</w:t>
      </w:r>
      <w:r w:rsidR="00407774">
        <w:rPr>
          <w:rFonts w:ascii="Times New Roman" w:hAnsi="Times New Roman"/>
          <w:sz w:val="28"/>
          <w:szCs w:val="28"/>
          <w:lang w:val="uk-UA"/>
        </w:rPr>
        <w:t>, яка полягала</w:t>
      </w:r>
      <w:r w:rsidRPr="0030177D">
        <w:rPr>
          <w:rFonts w:ascii="Times New Roman" w:hAnsi="Times New Roman"/>
          <w:sz w:val="28"/>
          <w:szCs w:val="28"/>
          <w:lang w:val="uk-UA"/>
        </w:rPr>
        <w:t xml:space="preserve"> у використанні зволожувального гелю для ясен та ополіскувача</w:t>
      </w:r>
      <w:r>
        <w:rPr>
          <w:rFonts w:ascii="Times New Roman" w:hAnsi="Times New Roman"/>
          <w:sz w:val="28"/>
          <w:szCs w:val="28"/>
          <w:lang w:val="uk-UA"/>
        </w:rPr>
        <w:t xml:space="preserve"> з нейтральним рН</w:t>
      </w:r>
      <w:r w:rsidRPr="0030177D">
        <w:rPr>
          <w:rFonts w:ascii="Times New Roman" w:hAnsi="Times New Roman"/>
          <w:sz w:val="28"/>
          <w:szCs w:val="28"/>
          <w:lang w:val="uk-UA"/>
        </w:rPr>
        <w:t xml:space="preserve"> </w:t>
      </w:r>
      <w:r w:rsidR="008B0C56" w:rsidRPr="0030177D">
        <w:rPr>
          <w:rFonts w:ascii="Times New Roman" w:hAnsi="Times New Roman"/>
          <w:sz w:val="28"/>
          <w:szCs w:val="28"/>
          <w:lang w:val="uk-UA"/>
        </w:rPr>
        <w:t xml:space="preserve">з вмістом бетаїну, </w:t>
      </w:r>
      <w:r w:rsidR="008B0C56" w:rsidRPr="00DD39D0">
        <w:rPr>
          <w:rFonts w:ascii="Times New Roman" w:hAnsi="Times New Roman"/>
          <w:sz w:val="28"/>
          <w:szCs w:val="28"/>
          <w:lang w:val="uk-UA"/>
        </w:rPr>
        <w:t>алое вера</w:t>
      </w:r>
      <w:r w:rsidR="008B0C56">
        <w:rPr>
          <w:rFonts w:ascii="Times New Roman" w:hAnsi="Times New Roman"/>
          <w:sz w:val="28"/>
          <w:szCs w:val="28"/>
          <w:lang w:val="uk-UA"/>
        </w:rPr>
        <w:t>,</w:t>
      </w:r>
      <w:r w:rsidR="008B0C56" w:rsidRPr="0030177D">
        <w:rPr>
          <w:rFonts w:ascii="Times New Roman" w:hAnsi="Times New Roman"/>
          <w:sz w:val="28"/>
          <w:szCs w:val="28"/>
          <w:lang w:val="uk-UA"/>
        </w:rPr>
        <w:t xml:space="preserve"> алантоїн</w:t>
      </w:r>
      <w:r w:rsidR="008B0C56">
        <w:rPr>
          <w:rFonts w:ascii="Times New Roman" w:hAnsi="Times New Roman"/>
          <w:sz w:val="28"/>
          <w:szCs w:val="28"/>
          <w:lang w:val="uk-UA"/>
        </w:rPr>
        <w:t xml:space="preserve">у </w:t>
      </w:r>
      <w:r w:rsidR="008B0C56" w:rsidRPr="0030177D">
        <w:rPr>
          <w:rFonts w:ascii="Times New Roman" w:hAnsi="Times New Roman"/>
          <w:sz w:val="28"/>
          <w:szCs w:val="28"/>
          <w:lang w:val="uk-UA"/>
        </w:rPr>
        <w:t xml:space="preserve">та ксиліту </w:t>
      </w:r>
      <w:r w:rsidRPr="0030177D">
        <w:rPr>
          <w:rFonts w:ascii="Times New Roman" w:hAnsi="Times New Roman"/>
          <w:sz w:val="28"/>
          <w:szCs w:val="28"/>
          <w:lang w:val="uk-UA"/>
        </w:rPr>
        <w:t xml:space="preserve">при ксеростомії, астматичних нападах та застосуванні інгаляційних медикаментозних засобів. </w:t>
      </w:r>
      <w:r w:rsidR="00191A76" w:rsidRPr="0030177D">
        <w:rPr>
          <w:rFonts w:ascii="Times New Roman" w:hAnsi="Times New Roman"/>
          <w:sz w:val="28"/>
          <w:szCs w:val="28"/>
          <w:lang w:val="uk-UA"/>
        </w:rPr>
        <w:t>Концептуально нова програма лікування та профілактики гінгівіту включала прийом імуномодулюючих препаратів при зниженні рівнів</w:t>
      </w:r>
      <w:r w:rsidR="00AF263D">
        <w:rPr>
          <w:rFonts w:ascii="Times New Roman" w:hAnsi="Times New Roman"/>
          <w:sz w:val="28"/>
          <w:szCs w:val="28"/>
          <w:lang w:val="uk-UA"/>
        </w:rPr>
        <w:t xml:space="preserve"> визначених біомаркерів запалення, а саме </w:t>
      </w:r>
      <w:r w:rsidR="00191A76" w:rsidRPr="0030177D">
        <w:rPr>
          <w:rFonts w:ascii="Times New Roman" w:hAnsi="Times New Roman"/>
          <w:sz w:val="28"/>
          <w:szCs w:val="28"/>
        </w:rPr>
        <w:t>IgG</w:t>
      </w:r>
      <w:r w:rsidR="00AF263D">
        <w:rPr>
          <w:rFonts w:ascii="Times New Roman" w:hAnsi="Times New Roman"/>
          <w:sz w:val="28"/>
          <w:szCs w:val="28"/>
          <w:lang w:val="uk-UA"/>
        </w:rPr>
        <w:t xml:space="preserve"> до рівня</w:t>
      </w:r>
      <w:r w:rsidR="00191A76" w:rsidRPr="0030177D">
        <w:rPr>
          <w:rFonts w:ascii="Times New Roman" w:hAnsi="Times New Roman"/>
          <w:sz w:val="28"/>
          <w:szCs w:val="28"/>
          <w:lang w:val="uk-UA"/>
        </w:rPr>
        <w:t xml:space="preserve"> 1.72 ± </w:t>
      </w:r>
      <w:r w:rsidR="00AF263D">
        <w:rPr>
          <w:rFonts w:ascii="Times New Roman" w:hAnsi="Times New Roman"/>
          <w:sz w:val="28"/>
          <w:szCs w:val="28"/>
          <w:lang w:val="uk-UA"/>
        </w:rPr>
        <w:t>0.49 г/л у групі дітей з гінгівітом та атопічними захворюваннями</w:t>
      </w:r>
      <w:r w:rsidR="00191A76" w:rsidRPr="0030177D">
        <w:rPr>
          <w:rFonts w:ascii="Times New Roman" w:hAnsi="Times New Roman"/>
          <w:sz w:val="28"/>
          <w:szCs w:val="28"/>
          <w:lang w:val="uk-UA"/>
        </w:rPr>
        <w:t xml:space="preserve">, 1.56 ± 0.49 г/л у </w:t>
      </w:r>
      <w:r w:rsidR="00AF263D">
        <w:rPr>
          <w:rFonts w:ascii="Times New Roman" w:hAnsi="Times New Roman"/>
          <w:sz w:val="28"/>
          <w:szCs w:val="28"/>
          <w:lang w:val="uk-UA"/>
        </w:rPr>
        <w:t xml:space="preserve">групі дітей без виражених ознак гінгівіту, </w:t>
      </w:r>
      <w:r w:rsidR="00191A76" w:rsidRPr="0030177D">
        <w:rPr>
          <w:rFonts w:ascii="Times New Roman" w:hAnsi="Times New Roman"/>
          <w:sz w:val="28"/>
          <w:szCs w:val="28"/>
          <w:lang w:val="uk-UA"/>
        </w:rPr>
        <w:t xml:space="preserve">та вітамінно-антиоксидантних комплексів за наявності антиоксидантного дисбалансу, а саме зниження рівню відновленого глутатіону </w:t>
      </w:r>
      <w:r w:rsidR="00AF263D">
        <w:rPr>
          <w:rFonts w:ascii="Times New Roman" w:hAnsi="Times New Roman"/>
          <w:sz w:val="28"/>
          <w:szCs w:val="28"/>
          <w:lang w:val="uk-UA"/>
        </w:rPr>
        <w:t xml:space="preserve">до рівня </w:t>
      </w:r>
      <w:r w:rsidR="00191A76" w:rsidRPr="0030177D">
        <w:rPr>
          <w:rFonts w:ascii="Times New Roman" w:hAnsi="Times New Roman"/>
          <w:sz w:val="28"/>
          <w:szCs w:val="28"/>
          <w:lang w:val="uk-UA"/>
        </w:rPr>
        <w:t xml:space="preserve">2.31 ± 0.44 ммоль/л </w:t>
      </w:r>
      <w:r w:rsidR="00AF263D">
        <w:rPr>
          <w:rFonts w:ascii="Times New Roman" w:hAnsi="Times New Roman"/>
          <w:sz w:val="28"/>
          <w:szCs w:val="28"/>
          <w:lang w:val="uk-UA"/>
        </w:rPr>
        <w:t>у групі дітей з гінгівітом та атопічними захворюваннями</w:t>
      </w:r>
      <w:r w:rsidR="00191A76" w:rsidRPr="0030177D">
        <w:rPr>
          <w:rFonts w:ascii="Times New Roman" w:hAnsi="Times New Roman"/>
          <w:sz w:val="28"/>
          <w:szCs w:val="28"/>
          <w:lang w:val="uk-UA"/>
        </w:rPr>
        <w:t xml:space="preserve">, 2.69 ± 0.56 ммоль/л у </w:t>
      </w:r>
      <w:r w:rsidR="00AF263D">
        <w:rPr>
          <w:rFonts w:ascii="Times New Roman" w:hAnsi="Times New Roman"/>
          <w:sz w:val="28"/>
          <w:szCs w:val="28"/>
          <w:lang w:val="uk-UA"/>
        </w:rPr>
        <w:t>групі дітей без виражених ознак гінгівіту.</w:t>
      </w:r>
      <w:r w:rsidR="00191A76" w:rsidRPr="0030177D">
        <w:rPr>
          <w:rFonts w:ascii="Times New Roman" w:hAnsi="Times New Roman"/>
          <w:sz w:val="28"/>
          <w:szCs w:val="28"/>
          <w:lang w:val="uk-UA"/>
        </w:rPr>
        <w:t xml:space="preserve"> </w:t>
      </w:r>
    </w:p>
    <w:p w:rsidR="00191A76" w:rsidRPr="0047086B" w:rsidRDefault="00191A76" w:rsidP="0047086B">
      <w:pPr>
        <w:pStyle w:val="a7"/>
        <w:numPr>
          <w:ilvl w:val="0"/>
          <w:numId w:val="3"/>
        </w:numPr>
        <w:spacing w:after="0" w:line="240" w:lineRule="auto"/>
        <w:ind w:left="0" w:firstLine="709"/>
        <w:jc w:val="both"/>
        <w:rPr>
          <w:rFonts w:ascii="Times New Roman" w:hAnsi="Times New Roman"/>
          <w:sz w:val="28"/>
          <w:szCs w:val="28"/>
          <w:lang w:val="uk-UA"/>
        </w:rPr>
      </w:pPr>
      <w:r w:rsidRPr="00DD39D0">
        <w:rPr>
          <w:rFonts w:ascii="Times New Roman" w:hAnsi="Times New Roman"/>
          <w:sz w:val="28"/>
          <w:szCs w:val="28"/>
          <w:lang w:val="uk-UA"/>
        </w:rPr>
        <w:t>Впроваджено використання концептуально нової моделі лікування та профілактики гінгівіту у дітей з атопічними захворюваннями з урахуванням виявлених змін клінічного, імунологічного та антиоксидантного статусу. Оцінювання к</w:t>
      </w:r>
      <w:r w:rsidR="00051F01">
        <w:rPr>
          <w:rFonts w:ascii="Times New Roman" w:hAnsi="Times New Roman"/>
          <w:sz w:val="28"/>
          <w:szCs w:val="28"/>
          <w:lang w:val="uk-UA"/>
        </w:rPr>
        <w:t>лінічної ефективності</w:t>
      </w:r>
      <w:r w:rsidRPr="00DD39D0">
        <w:rPr>
          <w:rFonts w:ascii="Times New Roman" w:hAnsi="Times New Roman"/>
          <w:sz w:val="28"/>
          <w:szCs w:val="28"/>
          <w:lang w:val="uk-UA"/>
        </w:rPr>
        <w:t xml:space="preserve"> показало нормалізацію стоматологічного статусу у динаміці, при оцінюванні через дванадцять місяців РМА дорі</w:t>
      </w:r>
      <w:r w:rsidR="00051F01">
        <w:rPr>
          <w:rFonts w:ascii="Times New Roman" w:hAnsi="Times New Roman"/>
          <w:sz w:val="28"/>
          <w:szCs w:val="28"/>
          <w:lang w:val="uk-UA"/>
        </w:rPr>
        <w:t>в</w:t>
      </w:r>
      <w:r w:rsidRPr="00DD39D0">
        <w:rPr>
          <w:rFonts w:ascii="Times New Roman" w:hAnsi="Times New Roman"/>
          <w:sz w:val="28"/>
          <w:szCs w:val="28"/>
          <w:lang w:val="uk-UA"/>
        </w:rPr>
        <w:t xml:space="preserve">нював 3,59 </w:t>
      </w:r>
      <w:r w:rsidR="00051F01">
        <w:rPr>
          <w:rFonts w:ascii="Times New Roman" w:hAnsi="Times New Roman"/>
          <w:sz w:val="28"/>
          <w:szCs w:val="28"/>
          <w:lang w:val="uk-UA"/>
        </w:rPr>
        <w:t>± 2,31 % у групі дітей з гінгівітом та атопічними захворюваннями</w:t>
      </w:r>
      <w:r w:rsidRPr="00DD39D0">
        <w:rPr>
          <w:rFonts w:ascii="Times New Roman" w:hAnsi="Times New Roman"/>
          <w:sz w:val="28"/>
          <w:szCs w:val="28"/>
          <w:lang w:val="uk-UA"/>
        </w:rPr>
        <w:t xml:space="preserve">, 1,94 ± 1,61 % у </w:t>
      </w:r>
      <w:r w:rsidR="00051F01">
        <w:rPr>
          <w:rFonts w:ascii="Times New Roman" w:hAnsi="Times New Roman"/>
          <w:sz w:val="28"/>
          <w:szCs w:val="28"/>
          <w:lang w:val="uk-UA"/>
        </w:rPr>
        <w:t>групі дітей без виражених ознак гінгівіту</w:t>
      </w:r>
      <w:r w:rsidRPr="00DD39D0">
        <w:rPr>
          <w:rFonts w:ascii="Times New Roman" w:hAnsi="Times New Roman"/>
          <w:sz w:val="28"/>
          <w:szCs w:val="28"/>
          <w:lang w:val="uk-UA"/>
        </w:rPr>
        <w:t xml:space="preserve">; </w:t>
      </w:r>
      <w:r w:rsidRPr="00DD39D0">
        <w:rPr>
          <w:rFonts w:ascii="Times New Roman" w:hAnsi="Times New Roman"/>
          <w:sz w:val="28"/>
          <w:szCs w:val="28"/>
        </w:rPr>
        <w:t>SBI</w:t>
      </w:r>
      <w:r w:rsidRPr="00DD39D0">
        <w:rPr>
          <w:rFonts w:ascii="Times New Roman" w:hAnsi="Times New Roman"/>
          <w:sz w:val="28"/>
          <w:szCs w:val="28"/>
          <w:lang w:val="uk-UA"/>
        </w:rPr>
        <w:t xml:space="preserve"> - 0,17 </w:t>
      </w:r>
      <w:r w:rsidR="00051F01">
        <w:rPr>
          <w:rFonts w:ascii="Times New Roman" w:hAnsi="Times New Roman"/>
          <w:sz w:val="28"/>
          <w:szCs w:val="28"/>
          <w:lang w:val="uk-UA"/>
        </w:rPr>
        <w:t>± 0,14 бали у групі дітей з гінгівітом та атопічними захворюваннями</w:t>
      </w:r>
      <w:r w:rsidRPr="00DD39D0">
        <w:rPr>
          <w:rFonts w:ascii="Times New Roman" w:hAnsi="Times New Roman"/>
          <w:sz w:val="28"/>
          <w:szCs w:val="28"/>
          <w:lang w:val="uk-UA"/>
        </w:rPr>
        <w:t xml:space="preserve">, 0,13 ± </w:t>
      </w:r>
      <w:r w:rsidR="00051F01">
        <w:rPr>
          <w:rFonts w:ascii="Times New Roman" w:hAnsi="Times New Roman"/>
          <w:sz w:val="28"/>
          <w:szCs w:val="28"/>
          <w:lang w:val="uk-UA"/>
        </w:rPr>
        <w:t xml:space="preserve">0,13 бали </w:t>
      </w:r>
      <w:r w:rsidR="00051F01" w:rsidRPr="00DD39D0">
        <w:rPr>
          <w:rFonts w:ascii="Times New Roman" w:hAnsi="Times New Roman"/>
          <w:sz w:val="28"/>
          <w:szCs w:val="28"/>
          <w:lang w:val="uk-UA"/>
        </w:rPr>
        <w:t xml:space="preserve">у </w:t>
      </w:r>
      <w:r w:rsidR="00051F01">
        <w:rPr>
          <w:rFonts w:ascii="Times New Roman" w:hAnsi="Times New Roman"/>
          <w:sz w:val="28"/>
          <w:szCs w:val="28"/>
          <w:lang w:val="uk-UA"/>
        </w:rPr>
        <w:t>групі дітей без виражених ознак гінгівіту</w:t>
      </w:r>
      <w:r w:rsidRPr="00DD39D0">
        <w:rPr>
          <w:rFonts w:ascii="Times New Roman" w:hAnsi="Times New Roman"/>
          <w:sz w:val="28"/>
          <w:szCs w:val="28"/>
          <w:lang w:val="uk-UA"/>
        </w:rPr>
        <w:t xml:space="preserve">; </w:t>
      </w:r>
      <w:r w:rsidR="00407774">
        <w:rPr>
          <w:rFonts w:ascii="Times New Roman" w:hAnsi="Times New Roman"/>
          <w:sz w:val="28"/>
          <w:szCs w:val="28"/>
          <w:lang w:val="uk-UA"/>
        </w:rPr>
        <w:t>рівень</w:t>
      </w:r>
      <w:r w:rsidRPr="00DD39D0">
        <w:rPr>
          <w:rFonts w:ascii="Times New Roman" w:hAnsi="Times New Roman"/>
          <w:sz w:val="28"/>
          <w:szCs w:val="28"/>
          <w:lang w:val="uk-UA"/>
        </w:rPr>
        <w:t xml:space="preserve"> муцину - 2.48 ± 0.55 г/л у </w:t>
      </w:r>
      <w:r w:rsidR="00051F01">
        <w:rPr>
          <w:rFonts w:ascii="Times New Roman" w:hAnsi="Times New Roman"/>
          <w:sz w:val="28"/>
          <w:szCs w:val="28"/>
          <w:lang w:val="uk-UA"/>
        </w:rPr>
        <w:t>групі дітей з гінгівітом та атопічними захворюваннями</w:t>
      </w:r>
      <w:r w:rsidRPr="00DD39D0">
        <w:rPr>
          <w:rFonts w:ascii="Times New Roman" w:hAnsi="Times New Roman"/>
          <w:sz w:val="28"/>
          <w:szCs w:val="28"/>
          <w:lang w:val="uk-UA"/>
        </w:rPr>
        <w:t xml:space="preserve">, 2.37 ± 0.53 г/л у </w:t>
      </w:r>
      <w:r w:rsidR="00051F01">
        <w:rPr>
          <w:rFonts w:ascii="Times New Roman" w:hAnsi="Times New Roman"/>
          <w:sz w:val="28"/>
          <w:szCs w:val="28"/>
          <w:lang w:val="uk-UA"/>
        </w:rPr>
        <w:t>групі дітей без виражених ознак гінгівіту</w:t>
      </w:r>
      <w:r w:rsidRPr="00DD39D0">
        <w:rPr>
          <w:rFonts w:ascii="Times New Roman" w:hAnsi="Times New Roman"/>
          <w:sz w:val="28"/>
          <w:szCs w:val="28"/>
          <w:lang w:val="uk-UA"/>
        </w:rPr>
        <w:t>. Зазначені показники достовірно</w:t>
      </w:r>
      <w:r w:rsidR="00407774">
        <w:rPr>
          <w:rFonts w:ascii="Times New Roman" w:hAnsi="Times New Roman"/>
          <w:sz w:val="28"/>
          <w:szCs w:val="28"/>
          <w:lang w:val="uk-UA"/>
        </w:rPr>
        <w:t xml:space="preserve"> (р&lt;0,05)</w:t>
      </w:r>
      <w:r w:rsidRPr="00DD39D0">
        <w:rPr>
          <w:rFonts w:ascii="Times New Roman" w:hAnsi="Times New Roman"/>
          <w:sz w:val="28"/>
          <w:szCs w:val="28"/>
          <w:lang w:val="uk-UA"/>
        </w:rPr>
        <w:t xml:space="preserve"> відрізнялися від показників контрольної групи пацієнтів, що підтверджує ефективність концептуально нової програми лікування та профілактики </w:t>
      </w:r>
      <w:r w:rsidR="00407774">
        <w:rPr>
          <w:rFonts w:ascii="Times New Roman" w:hAnsi="Times New Roman"/>
          <w:sz w:val="28"/>
          <w:szCs w:val="28"/>
          <w:lang w:val="uk-UA"/>
        </w:rPr>
        <w:t>гінгівіту на тлі атопічних захворювань</w:t>
      </w:r>
      <w:r w:rsidRPr="00DD39D0">
        <w:rPr>
          <w:rFonts w:ascii="Times New Roman" w:hAnsi="Times New Roman"/>
          <w:sz w:val="28"/>
          <w:szCs w:val="28"/>
          <w:lang w:val="uk-UA"/>
        </w:rPr>
        <w:t>.</w:t>
      </w:r>
    </w:p>
    <w:p w:rsidR="0047086B" w:rsidRPr="00DD39D0" w:rsidRDefault="0047086B" w:rsidP="0047086B">
      <w:pPr>
        <w:spacing w:after="0" w:line="240" w:lineRule="auto"/>
        <w:ind w:firstLine="709"/>
        <w:jc w:val="both"/>
        <w:rPr>
          <w:rFonts w:ascii="Times New Roman" w:hAnsi="Times New Roman"/>
          <w:sz w:val="28"/>
          <w:szCs w:val="28"/>
          <w:lang w:val="uk-UA"/>
        </w:rPr>
      </w:pPr>
    </w:p>
    <w:p w:rsidR="0047086B" w:rsidRDefault="0047086B" w:rsidP="0047086B">
      <w:pPr>
        <w:spacing w:after="0" w:line="240" w:lineRule="auto"/>
        <w:jc w:val="center"/>
        <w:rPr>
          <w:rFonts w:ascii="Times New Roman" w:hAnsi="Times New Roman"/>
          <w:b/>
          <w:sz w:val="28"/>
          <w:szCs w:val="28"/>
          <w:lang w:val="uk-UA"/>
        </w:rPr>
      </w:pPr>
      <w:r w:rsidRPr="00DD39D0">
        <w:rPr>
          <w:rFonts w:ascii="Times New Roman" w:hAnsi="Times New Roman"/>
          <w:b/>
          <w:sz w:val="28"/>
          <w:szCs w:val="28"/>
          <w:lang w:val="uk-UA"/>
        </w:rPr>
        <w:t>ПРАКТИЧНІ РЕКОМЕНДАЦІЇ</w:t>
      </w:r>
    </w:p>
    <w:p w:rsidR="0047086B" w:rsidRPr="00DD39D0" w:rsidRDefault="0047086B" w:rsidP="0047086B">
      <w:pPr>
        <w:spacing w:after="0" w:line="240" w:lineRule="auto"/>
        <w:jc w:val="center"/>
        <w:rPr>
          <w:rFonts w:ascii="Times New Roman" w:hAnsi="Times New Roman"/>
          <w:b/>
          <w:sz w:val="28"/>
          <w:szCs w:val="28"/>
          <w:lang w:val="uk-UA"/>
        </w:rPr>
      </w:pPr>
    </w:p>
    <w:p w:rsidR="0047086B" w:rsidRPr="00DD39D0" w:rsidRDefault="00407774" w:rsidP="0047086B">
      <w:pPr>
        <w:pStyle w:val="a7"/>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Рекомендовано в</w:t>
      </w:r>
      <w:r w:rsidR="0047086B" w:rsidRPr="00DD39D0">
        <w:rPr>
          <w:rFonts w:ascii="Times New Roman" w:hAnsi="Times New Roman"/>
          <w:sz w:val="28"/>
          <w:szCs w:val="28"/>
          <w:lang w:val="uk-UA"/>
        </w:rPr>
        <w:t>вести термін диспансерного нагляду дітей з атопічними захворюваннями з відвідуванням лікаря-стоматолога один раз на шість місяців</w:t>
      </w:r>
    </w:p>
    <w:p w:rsidR="0047086B" w:rsidRPr="00DD39D0" w:rsidRDefault="0047086B" w:rsidP="0047086B">
      <w:pPr>
        <w:pStyle w:val="a7"/>
        <w:numPr>
          <w:ilvl w:val="0"/>
          <w:numId w:val="2"/>
        </w:num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Під час кожного профілактичного візиту</w:t>
      </w:r>
      <w:r w:rsidR="001F41FE">
        <w:rPr>
          <w:rFonts w:ascii="Times New Roman" w:hAnsi="Times New Roman"/>
          <w:sz w:val="28"/>
          <w:szCs w:val="28"/>
          <w:lang w:val="uk-UA"/>
        </w:rPr>
        <w:t xml:space="preserve"> у дітей з атопічними захворюваннями</w:t>
      </w:r>
      <w:r w:rsidRPr="00DD39D0">
        <w:rPr>
          <w:rFonts w:ascii="Times New Roman" w:hAnsi="Times New Roman"/>
          <w:sz w:val="28"/>
          <w:szCs w:val="28"/>
          <w:lang w:val="uk-UA"/>
        </w:rPr>
        <w:t xml:space="preserve"> </w:t>
      </w:r>
      <w:r w:rsidR="001F41FE">
        <w:rPr>
          <w:rFonts w:ascii="Times New Roman" w:hAnsi="Times New Roman"/>
          <w:sz w:val="28"/>
          <w:szCs w:val="28"/>
          <w:lang w:val="uk-UA"/>
        </w:rPr>
        <w:t>під час</w:t>
      </w:r>
      <w:r w:rsidRPr="00DD39D0">
        <w:rPr>
          <w:rFonts w:ascii="Times New Roman" w:hAnsi="Times New Roman"/>
          <w:sz w:val="28"/>
          <w:szCs w:val="28"/>
          <w:lang w:val="uk-UA"/>
        </w:rPr>
        <w:t xml:space="preserve"> стоматологічного огляду</w:t>
      </w:r>
      <w:r>
        <w:rPr>
          <w:rFonts w:ascii="Times New Roman" w:hAnsi="Times New Roman"/>
          <w:sz w:val="28"/>
          <w:szCs w:val="28"/>
          <w:lang w:val="uk-UA"/>
        </w:rPr>
        <w:t xml:space="preserve"> рекомендовано</w:t>
      </w:r>
      <w:r w:rsidRPr="00DD39D0">
        <w:rPr>
          <w:rFonts w:ascii="Times New Roman" w:hAnsi="Times New Roman"/>
          <w:sz w:val="28"/>
          <w:szCs w:val="28"/>
          <w:lang w:val="uk-UA"/>
        </w:rPr>
        <w:t xml:space="preserve"> проводити неінвазивну скринінг-діагностику, яка полягає у заборі ротової рідини з подальшим визначенням рівня відновленого глутатіону, рівня секреторного імуноглобуліну А та імуноглобуліну </w:t>
      </w:r>
      <w:r w:rsidRPr="00DD39D0">
        <w:rPr>
          <w:rFonts w:ascii="Times New Roman" w:hAnsi="Times New Roman"/>
          <w:sz w:val="28"/>
          <w:szCs w:val="28"/>
        </w:rPr>
        <w:t>G</w:t>
      </w:r>
      <w:r w:rsidRPr="00DD39D0">
        <w:rPr>
          <w:rFonts w:ascii="Times New Roman" w:hAnsi="Times New Roman"/>
          <w:sz w:val="28"/>
          <w:szCs w:val="28"/>
          <w:lang w:val="uk-UA"/>
        </w:rPr>
        <w:t>.</w:t>
      </w:r>
    </w:p>
    <w:p w:rsidR="0047086B" w:rsidRPr="00DD39D0" w:rsidRDefault="0047086B" w:rsidP="0047086B">
      <w:pPr>
        <w:pStyle w:val="a7"/>
        <w:numPr>
          <w:ilvl w:val="0"/>
          <w:numId w:val="2"/>
        </w:num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При профілактичних оглядах дітей з атопічними захворюваннями рекомендувати схему індивідуальної гігієни, яка включає засто</w:t>
      </w:r>
      <w:r w:rsidR="008B0C56">
        <w:rPr>
          <w:rFonts w:ascii="Times New Roman" w:hAnsi="Times New Roman"/>
          <w:sz w:val="28"/>
          <w:szCs w:val="28"/>
          <w:lang w:val="uk-UA"/>
        </w:rPr>
        <w:t>сування ополіскувача</w:t>
      </w:r>
      <w:r w:rsidRPr="00DD39D0">
        <w:rPr>
          <w:rFonts w:ascii="Times New Roman" w:hAnsi="Times New Roman"/>
          <w:sz w:val="28"/>
          <w:szCs w:val="28"/>
          <w:lang w:val="uk-UA"/>
        </w:rPr>
        <w:t xml:space="preserve"> з нейтральним рН та використання гелю для ясен з вмістом бетаїну, </w:t>
      </w:r>
      <w:r w:rsidR="008B0C56">
        <w:rPr>
          <w:rFonts w:ascii="Times New Roman" w:hAnsi="Times New Roman"/>
          <w:sz w:val="28"/>
          <w:szCs w:val="28"/>
          <w:lang w:val="uk-UA"/>
        </w:rPr>
        <w:t xml:space="preserve">алое вера, </w:t>
      </w:r>
      <w:r w:rsidRPr="00DD39D0">
        <w:rPr>
          <w:rFonts w:ascii="Times New Roman" w:hAnsi="Times New Roman"/>
          <w:sz w:val="28"/>
          <w:szCs w:val="28"/>
          <w:lang w:val="uk-UA"/>
        </w:rPr>
        <w:t xml:space="preserve">алантоїну </w:t>
      </w:r>
      <w:r w:rsidR="008B0C56">
        <w:rPr>
          <w:rFonts w:ascii="Times New Roman" w:hAnsi="Times New Roman"/>
          <w:sz w:val="28"/>
          <w:szCs w:val="28"/>
          <w:lang w:val="uk-UA"/>
        </w:rPr>
        <w:t xml:space="preserve">та ксиліту </w:t>
      </w:r>
      <w:r w:rsidRPr="00DD39D0">
        <w:rPr>
          <w:rFonts w:ascii="Times New Roman" w:hAnsi="Times New Roman"/>
          <w:sz w:val="28"/>
          <w:szCs w:val="28"/>
          <w:lang w:val="uk-UA"/>
        </w:rPr>
        <w:t>у періоди загострення соматичного захворювання.</w:t>
      </w:r>
    </w:p>
    <w:p w:rsidR="0047086B" w:rsidRPr="008B0C56" w:rsidRDefault="0047086B" w:rsidP="008B0C56">
      <w:pPr>
        <w:pStyle w:val="a7"/>
        <w:numPr>
          <w:ilvl w:val="0"/>
          <w:numId w:val="2"/>
        </w:num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 xml:space="preserve">При виявленні запальних змін тканин пародонту або при визначенні змін імунометаболічних показників </w:t>
      </w:r>
      <w:r>
        <w:rPr>
          <w:rFonts w:ascii="Times New Roman" w:hAnsi="Times New Roman"/>
          <w:sz w:val="28"/>
          <w:szCs w:val="28"/>
          <w:lang w:val="uk-UA"/>
        </w:rPr>
        <w:t xml:space="preserve">рекомендовано </w:t>
      </w:r>
      <w:r w:rsidRPr="00DD39D0">
        <w:rPr>
          <w:rFonts w:ascii="Times New Roman" w:hAnsi="Times New Roman"/>
          <w:sz w:val="28"/>
          <w:szCs w:val="28"/>
          <w:lang w:val="uk-UA"/>
        </w:rPr>
        <w:t>призначити курс прийому імуномодулюючих препаратів та вітаміно-антиоксидантних комплексів</w:t>
      </w:r>
      <w:r w:rsidR="008B0C56">
        <w:rPr>
          <w:rFonts w:ascii="Times New Roman" w:hAnsi="Times New Roman"/>
          <w:sz w:val="28"/>
          <w:szCs w:val="28"/>
          <w:lang w:val="uk-UA"/>
        </w:rPr>
        <w:t xml:space="preserve"> відповідно до розробленої диференційованої схеми</w:t>
      </w:r>
      <w:r>
        <w:rPr>
          <w:rFonts w:ascii="Times New Roman" w:hAnsi="Times New Roman"/>
          <w:sz w:val="28"/>
          <w:szCs w:val="28"/>
          <w:lang w:val="uk-UA"/>
        </w:rPr>
        <w:t xml:space="preserve"> лікувально-профілактичних заходів</w:t>
      </w:r>
      <w:r w:rsidRPr="00DD39D0">
        <w:rPr>
          <w:rFonts w:ascii="Times New Roman" w:hAnsi="Times New Roman"/>
          <w:sz w:val="28"/>
          <w:szCs w:val="28"/>
          <w:lang w:val="uk-UA"/>
        </w:rPr>
        <w:t>.</w:t>
      </w:r>
    </w:p>
    <w:p w:rsidR="009B19C9" w:rsidRDefault="009B19C9" w:rsidP="006721D7">
      <w:pPr>
        <w:spacing w:line="240" w:lineRule="auto"/>
        <w:jc w:val="center"/>
        <w:rPr>
          <w:rFonts w:ascii="Times New Roman" w:hAnsi="Times New Roman"/>
          <w:b/>
          <w:sz w:val="28"/>
          <w:szCs w:val="28"/>
          <w:lang w:val="uk-UA"/>
        </w:rPr>
      </w:pPr>
    </w:p>
    <w:p w:rsidR="00F648E4" w:rsidRDefault="00F648E4" w:rsidP="006721D7">
      <w:pPr>
        <w:spacing w:line="240" w:lineRule="auto"/>
        <w:jc w:val="center"/>
        <w:rPr>
          <w:rFonts w:ascii="Times New Roman" w:hAnsi="Times New Roman"/>
          <w:b/>
          <w:sz w:val="28"/>
          <w:szCs w:val="28"/>
          <w:lang w:val="uk-UA"/>
        </w:rPr>
      </w:pPr>
    </w:p>
    <w:p w:rsidR="00191A76" w:rsidRPr="00DD39D0" w:rsidRDefault="00191A76" w:rsidP="006721D7">
      <w:pPr>
        <w:spacing w:line="240" w:lineRule="auto"/>
        <w:jc w:val="center"/>
        <w:rPr>
          <w:rFonts w:ascii="Times New Roman" w:hAnsi="Times New Roman"/>
          <w:b/>
          <w:sz w:val="28"/>
          <w:szCs w:val="28"/>
          <w:lang w:val="uk-UA"/>
        </w:rPr>
      </w:pPr>
      <w:r w:rsidRPr="00DD39D0">
        <w:rPr>
          <w:rFonts w:ascii="Times New Roman" w:hAnsi="Times New Roman"/>
          <w:b/>
          <w:sz w:val="28"/>
          <w:szCs w:val="28"/>
          <w:lang w:val="uk-UA"/>
        </w:rPr>
        <w:t xml:space="preserve">ПЕРЕЛІК НАУКОВИХ ПРАЦЬ, </w:t>
      </w:r>
      <w:r w:rsidRPr="00DD39D0">
        <w:rPr>
          <w:rFonts w:ascii="Times New Roman" w:hAnsi="Times New Roman"/>
          <w:b/>
          <w:sz w:val="28"/>
          <w:szCs w:val="28"/>
          <w:lang w:val="uk-UA"/>
        </w:rPr>
        <w:br/>
        <w:t>ОПУБЛІКОВАНИХ ЗА ТЕМОЮ ДИСЕРТАЦІЇ:</w:t>
      </w:r>
    </w:p>
    <w:p w:rsidR="00DD39D0" w:rsidRPr="00DD39D0" w:rsidRDefault="00DD39D0" w:rsidP="006721D7">
      <w:pPr>
        <w:spacing w:line="240" w:lineRule="auto"/>
        <w:jc w:val="center"/>
        <w:rPr>
          <w:rFonts w:ascii="Times New Roman" w:hAnsi="Times New Roman"/>
          <w:b/>
          <w:sz w:val="28"/>
          <w:szCs w:val="28"/>
          <w:lang w:val="uk-UA"/>
        </w:rPr>
      </w:pP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Прогнозування ступеню запалення тканин пародонту у дітей з атопічними захворюваннями / Л. С. Кривенко // Актуальні проблеми сучасної медицини: Вісник Української медичної стоматологічної академії. – 2016. – № 4 (56), том 16. – С. 214-216.</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Взаємозв’язок стану прооксидантно-антиоксидантного балансу та хронічного гінгівіту у дітей на тлі атопічних захворювань / Л. С. Кривенко // Український стоматологічний альманах.</w:t>
      </w:r>
      <w:r w:rsidRPr="00DD39D0">
        <w:rPr>
          <w:rFonts w:ascii="Times New Roman" w:eastAsia="Times New Roman" w:hAnsi="Times New Roman"/>
          <w:sz w:val="28"/>
          <w:szCs w:val="28"/>
          <w:lang w:val="ru-RU" w:eastAsia="ar-SA"/>
        </w:rPr>
        <w:t xml:space="preserve"> –</w:t>
      </w:r>
      <w:r w:rsidRPr="00DD39D0">
        <w:rPr>
          <w:rFonts w:ascii="Times New Roman" w:eastAsia="Times New Roman" w:hAnsi="Times New Roman"/>
          <w:sz w:val="28"/>
          <w:szCs w:val="28"/>
          <w:lang w:val="uk-UA" w:eastAsia="ar-SA"/>
        </w:rPr>
        <w:t xml:space="preserve"> 2017. </w:t>
      </w:r>
      <w:r w:rsidRPr="00DD39D0">
        <w:rPr>
          <w:rFonts w:ascii="Times New Roman" w:eastAsia="Times New Roman" w:hAnsi="Times New Roman"/>
          <w:sz w:val="28"/>
          <w:szCs w:val="28"/>
          <w:lang w:val="ru-RU" w:eastAsia="ar-SA"/>
        </w:rPr>
        <w:t>–</w:t>
      </w:r>
      <w:r w:rsidRPr="00DD39D0">
        <w:rPr>
          <w:rFonts w:ascii="Times New Roman" w:eastAsia="Times New Roman" w:hAnsi="Times New Roman"/>
          <w:sz w:val="28"/>
          <w:szCs w:val="28"/>
          <w:lang w:val="uk-UA" w:eastAsia="ar-SA"/>
        </w:rPr>
        <w:t xml:space="preserve"> № 2. </w:t>
      </w:r>
      <w:r w:rsidRPr="00DD39D0">
        <w:rPr>
          <w:rFonts w:ascii="Times New Roman" w:eastAsia="Times New Roman" w:hAnsi="Times New Roman"/>
          <w:sz w:val="28"/>
          <w:szCs w:val="28"/>
          <w:lang w:val="ru-RU" w:eastAsia="ar-SA"/>
        </w:rPr>
        <w:t>–</w:t>
      </w:r>
      <w:r w:rsidRPr="00DD39D0">
        <w:rPr>
          <w:rFonts w:ascii="Times New Roman" w:eastAsia="Times New Roman" w:hAnsi="Times New Roman"/>
          <w:sz w:val="28"/>
          <w:szCs w:val="28"/>
          <w:lang w:val="uk-UA" w:eastAsia="ar-SA"/>
        </w:rPr>
        <w:t xml:space="preserve"> С.57-61.</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w:t>
      </w:r>
      <w:r w:rsidRPr="00DD39D0">
        <w:rPr>
          <w:rFonts w:ascii="Times New Roman" w:eastAsia="Times New Roman" w:hAnsi="Times New Roman"/>
          <w:sz w:val="28"/>
          <w:szCs w:val="28"/>
          <w:lang w:val="ru-RU" w:eastAsia="ar-SA"/>
        </w:rPr>
        <w:t xml:space="preserve">Выявление факторов риска развития стоматологических заболеваний среди школьников г. Харькова / Л. </w:t>
      </w:r>
      <w:r w:rsidRPr="00DD39D0">
        <w:rPr>
          <w:rFonts w:ascii="Times New Roman" w:eastAsia="Times New Roman" w:hAnsi="Times New Roman"/>
          <w:sz w:val="28"/>
          <w:szCs w:val="28"/>
          <w:lang w:val="uk-UA" w:eastAsia="ar-SA"/>
        </w:rPr>
        <w:t xml:space="preserve">С. Кривенко // </w:t>
      </w:r>
      <w:r w:rsidRPr="00DD39D0">
        <w:rPr>
          <w:rFonts w:ascii="Times New Roman" w:eastAsia="Times New Roman" w:hAnsi="Times New Roman"/>
          <w:sz w:val="28"/>
          <w:szCs w:val="28"/>
          <w:lang w:val="ru-RU" w:eastAsia="ar-SA"/>
        </w:rPr>
        <w:t xml:space="preserve">Медицина сегодня и завтра. – 2016. – №4 (73).– </w:t>
      </w:r>
      <w:r w:rsidRPr="00DD39D0">
        <w:rPr>
          <w:rFonts w:ascii="Times New Roman" w:eastAsia="Times New Roman" w:hAnsi="Times New Roman"/>
          <w:sz w:val="28"/>
          <w:szCs w:val="28"/>
          <w:lang w:val="uk-UA" w:eastAsia="ar-SA"/>
        </w:rPr>
        <w:t>С</w:t>
      </w:r>
      <w:r w:rsidRPr="00DD39D0">
        <w:rPr>
          <w:rFonts w:ascii="Times New Roman" w:eastAsia="Times New Roman" w:hAnsi="Times New Roman"/>
          <w:sz w:val="28"/>
          <w:szCs w:val="28"/>
          <w:lang w:val="ru-RU" w:eastAsia="ar-SA"/>
        </w:rPr>
        <w:t>.92-95</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w:t>
      </w:r>
      <w:r w:rsidRPr="00DD39D0">
        <w:rPr>
          <w:rFonts w:ascii="Times New Roman" w:eastAsia="Times New Roman" w:hAnsi="Times New Roman"/>
          <w:sz w:val="28"/>
          <w:szCs w:val="28"/>
          <w:lang w:val="ru-RU" w:eastAsia="ar-SA"/>
        </w:rPr>
        <w:t>Особенности стоматологического статуса детей, рожденных преждевременно (обзор литературы)</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 Л.</w:t>
      </w:r>
      <w:r w:rsidRPr="00DD39D0">
        <w:rPr>
          <w:rFonts w:ascii="Times New Roman" w:eastAsia="Times New Roman" w:hAnsi="Times New Roman"/>
          <w:sz w:val="28"/>
          <w:szCs w:val="28"/>
          <w:lang w:val="uk-UA" w:eastAsia="ar-SA"/>
        </w:rPr>
        <w:t xml:space="preserve"> С. Кривенко // </w:t>
      </w:r>
      <w:r w:rsidRPr="00DD39D0">
        <w:rPr>
          <w:rFonts w:ascii="Times New Roman" w:eastAsia="Times New Roman" w:hAnsi="Times New Roman"/>
          <w:sz w:val="28"/>
          <w:szCs w:val="28"/>
          <w:lang w:val="ru-RU" w:eastAsia="ar-SA"/>
        </w:rPr>
        <w:t>Вісник проблем медицини та біології</w:t>
      </w:r>
      <w:r w:rsidRPr="00DD39D0">
        <w:rPr>
          <w:rFonts w:ascii="Times New Roman" w:eastAsia="Times New Roman" w:hAnsi="Times New Roman"/>
          <w:sz w:val="28"/>
          <w:szCs w:val="28"/>
          <w:lang w:val="uk-UA" w:eastAsia="ar-SA"/>
        </w:rPr>
        <w:t>.</w:t>
      </w:r>
      <w:r w:rsidRPr="00DD39D0">
        <w:rPr>
          <w:rFonts w:ascii="Times New Roman" w:eastAsia="Times New Roman" w:hAnsi="Times New Roman"/>
          <w:sz w:val="28"/>
          <w:szCs w:val="28"/>
          <w:lang w:val="ru-RU" w:eastAsia="ar-SA"/>
        </w:rPr>
        <w:t xml:space="preserve"> </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2014</w:t>
      </w:r>
      <w:r w:rsidRPr="00DD39D0">
        <w:rPr>
          <w:rFonts w:ascii="Times New Roman" w:eastAsia="Times New Roman" w:hAnsi="Times New Roman"/>
          <w:sz w:val="28"/>
          <w:szCs w:val="28"/>
          <w:lang w:val="uk-UA" w:eastAsia="ar-SA"/>
        </w:rPr>
        <w:t>. – №</w:t>
      </w:r>
      <w:r w:rsidRPr="00DD39D0">
        <w:rPr>
          <w:rFonts w:ascii="Times New Roman" w:eastAsia="Times New Roman" w:hAnsi="Times New Roman"/>
          <w:sz w:val="28"/>
          <w:szCs w:val="28"/>
          <w:lang w:val="ru-RU" w:eastAsia="ar-SA"/>
        </w:rPr>
        <w:t xml:space="preserve"> 4, </w:t>
      </w:r>
      <w:r w:rsidRPr="00DD39D0">
        <w:rPr>
          <w:rFonts w:ascii="Times New Roman" w:eastAsia="Times New Roman" w:hAnsi="Times New Roman"/>
          <w:sz w:val="28"/>
          <w:szCs w:val="28"/>
          <w:lang w:val="uk-UA" w:eastAsia="ar-SA"/>
        </w:rPr>
        <w:t xml:space="preserve">Том 3 (115). </w:t>
      </w:r>
      <w:r w:rsidRPr="00DD39D0">
        <w:rPr>
          <w:rFonts w:ascii="Times New Roman" w:eastAsia="Times New Roman" w:hAnsi="Times New Roman"/>
          <w:sz w:val="28"/>
          <w:szCs w:val="28"/>
          <w:lang w:val="uk-UA" w:eastAsia="ar-SA"/>
        </w:rPr>
        <w:br/>
        <w:t xml:space="preserve">– С. </w:t>
      </w:r>
      <w:r w:rsidRPr="00DD39D0">
        <w:rPr>
          <w:rFonts w:ascii="Times New Roman" w:eastAsia="Times New Roman" w:hAnsi="Times New Roman"/>
          <w:sz w:val="28"/>
          <w:szCs w:val="28"/>
          <w:lang w:val="ru-RU" w:eastAsia="ar-SA"/>
        </w:rPr>
        <w:t>20-24</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Діагностична та прогностична значущість маркерів запалення тканин пародонту у дітей з атопічними захворюваннями / </w:t>
      </w:r>
      <w:r w:rsidRPr="00DD39D0">
        <w:rPr>
          <w:rFonts w:ascii="Times New Roman" w:eastAsia="Times New Roman" w:hAnsi="Times New Roman"/>
          <w:sz w:val="28"/>
          <w:szCs w:val="28"/>
          <w:lang w:val="uk-UA" w:eastAsia="ar-SA"/>
        </w:rPr>
        <w:br/>
      </w:r>
      <w:r w:rsidRPr="00DD39D0">
        <w:rPr>
          <w:rFonts w:ascii="Times New Roman" w:eastAsia="Times New Roman" w:hAnsi="Times New Roman"/>
          <w:sz w:val="28"/>
          <w:szCs w:val="28"/>
          <w:lang w:val="uk-UA" w:eastAsia="ar-SA"/>
        </w:rPr>
        <w:lastRenderedPageBreak/>
        <w:t>Л. С. Кривенко // Новини стоматології. – 2017. – №4 (93). – С.72-74.</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Досвід генотипування дітей мешканців Харківської області з проявами гінгівіту на тлі атопічних захворювань за </w:t>
      </w:r>
      <w:r w:rsidRPr="00DD39D0">
        <w:rPr>
          <w:rFonts w:ascii="Times New Roman" w:eastAsia="Times New Roman" w:hAnsi="Times New Roman"/>
          <w:sz w:val="28"/>
          <w:szCs w:val="28"/>
          <w:lang w:val="ru-RU" w:eastAsia="ar-SA"/>
        </w:rPr>
        <w:t>snp</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rs</w:t>
      </w:r>
      <w:r w:rsidRPr="00DD39D0">
        <w:rPr>
          <w:rFonts w:ascii="Times New Roman" w:eastAsia="Times New Roman" w:hAnsi="Times New Roman"/>
          <w:sz w:val="28"/>
          <w:szCs w:val="28"/>
          <w:lang w:val="uk-UA" w:eastAsia="ar-SA"/>
        </w:rPr>
        <w:t>1801270 / Л. С. Кривенко // Клінічна та експериментальна патологія. – 2017. – №2 (60), ч.2. – С. 33-36.</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Прогностичні біомаркери хронічного гінгівіту у ротовій рідині дітей з атопічними захворюваннями / Л. С. Кривенко // Новини стоматології. – 2017. – №3 (92). – С.88-91.</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Динаміка біомаркерів ротової рідини при лікуванні хронічного гінгівіту у дітей з атопічними захворюванням / </w:t>
      </w:r>
      <w:r w:rsidRPr="00DD39D0">
        <w:rPr>
          <w:rFonts w:ascii="Times New Roman" w:eastAsia="Times New Roman" w:hAnsi="Times New Roman"/>
          <w:sz w:val="28"/>
          <w:szCs w:val="28"/>
          <w:lang w:val="uk-UA" w:eastAsia="ar-SA"/>
        </w:rPr>
        <w:br/>
        <w:t>Л. С. Кривенко // Український журнал медицини, біології та спорту. – 2017. – №3(5). – С.145-149.</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Характеристика клітин букального епітелію дітей, хворих на атопічні захворювання, та їх стоматологічний статус / </w:t>
      </w:r>
      <w:r w:rsidRPr="00DD39D0">
        <w:rPr>
          <w:rFonts w:ascii="Times New Roman" w:eastAsia="Times New Roman" w:hAnsi="Times New Roman"/>
          <w:sz w:val="28"/>
          <w:szCs w:val="28"/>
          <w:lang w:val="uk-UA" w:eastAsia="ar-SA"/>
        </w:rPr>
        <w:br/>
        <w:t>Л. С. Кривенко // Актуальні проблеми сучасної медицини: Вісник Української медичної  стоматологічної академії.</w:t>
      </w:r>
      <w:r w:rsidR="007B622F" w:rsidRPr="007B622F">
        <w:rPr>
          <w:rFonts w:ascii="Times New Roman" w:eastAsia="Times New Roman" w:hAnsi="Times New Roman"/>
          <w:sz w:val="28"/>
          <w:szCs w:val="28"/>
          <w:lang w:val="uk-UA" w:eastAsia="ar-SA"/>
        </w:rPr>
        <w:t xml:space="preserve"> </w:t>
      </w:r>
      <w:r w:rsidR="007B622F" w:rsidRPr="00DD39D0">
        <w:rPr>
          <w:rFonts w:ascii="Times New Roman" w:eastAsia="Times New Roman" w:hAnsi="Times New Roman"/>
          <w:sz w:val="28"/>
          <w:szCs w:val="28"/>
          <w:lang w:val="uk-UA" w:eastAsia="ar-SA"/>
        </w:rPr>
        <w:t>–</w:t>
      </w:r>
      <w:r w:rsidRPr="00DD39D0">
        <w:rPr>
          <w:rFonts w:ascii="Times New Roman" w:eastAsia="Times New Roman" w:hAnsi="Times New Roman"/>
          <w:sz w:val="28"/>
          <w:szCs w:val="28"/>
          <w:lang w:val="uk-UA" w:eastAsia="ar-SA"/>
        </w:rPr>
        <w:t xml:space="preserve"> 2017. – № 4 (60), том 17. – С. 134-137.</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Експериментальне дослідження морфологічних змін тканин ротової порожнини при моделюванні атопічного процесу у тварин / Л. С. Кривенко // Вісник проблем біології і медицини. – 2017. – № 4, т.3. – С. 46-49.</w:t>
      </w:r>
    </w:p>
    <w:p w:rsidR="00191A76" w:rsidRPr="00DD39D0" w:rsidRDefault="00AD0387"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Kri</w:t>
      </w:r>
      <w:r w:rsidR="00191A76" w:rsidRPr="00DD39D0">
        <w:rPr>
          <w:rFonts w:ascii="Times New Roman" w:eastAsia="Times New Roman" w:hAnsi="Times New Roman"/>
          <w:sz w:val="28"/>
          <w:szCs w:val="28"/>
          <w:lang w:eastAsia="ar-SA"/>
        </w:rPr>
        <w:t>venko</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L</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S</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Influence</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of</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maternal</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pathology</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and</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atopic</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diseases</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on</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development</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of</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oral</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cavity</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pathology</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in</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children</w:t>
      </w:r>
      <w:r w:rsidR="00191A76" w:rsidRPr="00DD39D0">
        <w:rPr>
          <w:rFonts w:ascii="Times New Roman" w:eastAsia="Times New Roman" w:hAnsi="Times New Roman"/>
          <w:sz w:val="28"/>
          <w:szCs w:val="28"/>
          <w:lang w:val="uk-UA" w:eastAsia="ar-SA"/>
        </w:rPr>
        <w:t xml:space="preserve"> / </w:t>
      </w:r>
      <w:r w:rsidR="00191A76" w:rsidRPr="00DD39D0">
        <w:rPr>
          <w:rFonts w:ascii="Times New Roman" w:eastAsia="Times New Roman" w:hAnsi="Times New Roman"/>
          <w:sz w:val="28"/>
          <w:szCs w:val="28"/>
          <w:lang w:eastAsia="ar-SA"/>
        </w:rPr>
        <w:t>L</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S</w:t>
      </w:r>
      <w:r w:rsidR="00191A76" w:rsidRPr="00DD39D0">
        <w:rPr>
          <w:rFonts w:ascii="Times New Roman" w:eastAsia="Times New Roman" w:hAnsi="Times New Roman"/>
          <w:sz w:val="28"/>
          <w:szCs w:val="28"/>
          <w:lang w:val="uk-UA" w:eastAsia="ar-SA"/>
        </w:rPr>
        <w:t xml:space="preserve">. </w:t>
      </w:r>
      <w:r>
        <w:rPr>
          <w:rFonts w:ascii="Times New Roman" w:eastAsia="Times New Roman" w:hAnsi="Times New Roman"/>
          <w:sz w:val="28"/>
          <w:szCs w:val="28"/>
          <w:lang w:eastAsia="ar-SA"/>
        </w:rPr>
        <w:t>Kri</w:t>
      </w:r>
      <w:r w:rsidR="00191A76" w:rsidRPr="00DD39D0">
        <w:rPr>
          <w:rFonts w:ascii="Times New Roman" w:eastAsia="Times New Roman" w:hAnsi="Times New Roman"/>
          <w:sz w:val="28"/>
          <w:szCs w:val="28"/>
          <w:lang w:eastAsia="ar-SA"/>
        </w:rPr>
        <w:t>venko</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val="uk-UA" w:eastAsia="ar-SA"/>
        </w:rPr>
        <w:br/>
      </w:r>
      <w:r w:rsidR="00191A76" w:rsidRPr="00DD39D0">
        <w:rPr>
          <w:rFonts w:ascii="Times New Roman" w:eastAsia="Times New Roman" w:hAnsi="Times New Roman"/>
          <w:sz w:val="28"/>
          <w:szCs w:val="28"/>
          <w:lang w:eastAsia="ar-SA"/>
        </w:rPr>
        <w:t>R</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S</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Nazaryan</w:t>
      </w:r>
      <w:r w:rsidR="00191A76" w:rsidRPr="00DD39D0">
        <w:rPr>
          <w:rFonts w:ascii="Times New Roman" w:eastAsia="Times New Roman" w:hAnsi="Times New Roman"/>
          <w:sz w:val="28"/>
          <w:szCs w:val="28"/>
          <w:lang w:val="uk-UA" w:eastAsia="ar-SA"/>
        </w:rPr>
        <w:t xml:space="preserve"> // </w:t>
      </w:r>
      <w:r w:rsidR="00191A76" w:rsidRPr="00DD39D0">
        <w:rPr>
          <w:rFonts w:ascii="Times New Roman" w:eastAsia="Times New Roman" w:hAnsi="Times New Roman"/>
          <w:sz w:val="28"/>
          <w:szCs w:val="28"/>
          <w:lang w:eastAsia="ar-SA"/>
        </w:rPr>
        <w:t>Inter</w:t>
      </w:r>
      <w:r w:rsidR="00191A76" w:rsidRPr="00DD39D0">
        <w:rPr>
          <w:rFonts w:ascii="Times New Roman" w:eastAsia="Times New Roman" w:hAnsi="Times New Roman"/>
          <w:sz w:val="28"/>
          <w:szCs w:val="28"/>
          <w:lang w:val="uk-UA" w:eastAsia="ar-SA"/>
        </w:rPr>
        <w:t xml:space="preserve"> </w:t>
      </w:r>
      <w:r w:rsidR="00191A76" w:rsidRPr="00DD39D0">
        <w:rPr>
          <w:rFonts w:ascii="Times New Roman" w:eastAsia="Times New Roman" w:hAnsi="Times New Roman"/>
          <w:sz w:val="28"/>
          <w:szCs w:val="28"/>
          <w:lang w:eastAsia="ar-SA"/>
        </w:rPr>
        <w:t>collegas</w:t>
      </w:r>
      <w:r w:rsidR="00191A76" w:rsidRPr="00DD39D0">
        <w:rPr>
          <w:rFonts w:ascii="Times New Roman" w:eastAsia="Times New Roman" w:hAnsi="Times New Roman"/>
          <w:sz w:val="28"/>
          <w:szCs w:val="28"/>
          <w:lang w:val="uk-UA" w:eastAsia="ar-SA"/>
        </w:rPr>
        <w:t xml:space="preserve">. – 2015. – 3 (4). – </w:t>
      </w:r>
      <w:r w:rsidR="00191A76" w:rsidRPr="00DD39D0">
        <w:rPr>
          <w:rFonts w:ascii="Times New Roman" w:eastAsia="Times New Roman" w:hAnsi="Times New Roman"/>
          <w:sz w:val="28"/>
          <w:szCs w:val="28"/>
          <w:lang w:eastAsia="ar-SA"/>
        </w:rPr>
        <w:t>p</w:t>
      </w:r>
      <w:r w:rsidR="00191A76" w:rsidRPr="00DD39D0">
        <w:rPr>
          <w:rFonts w:ascii="Times New Roman" w:eastAsia="Times New Roman" w:hAnsi="Times New Roman"/>
          <w:sz w:val="28"/>
          <w:szCs w:val="28"/>
          <w:lang w:val="uk-UA" w:eastAsia="ar-SA"/>
        </w:rPr>
        <w:t>.386-391. https://inter.knmu.edu.ua/?journal=pub&amp;page=article&amp;op=view&amp;path%5B%5D=99 (</w:t>
      </w:r>
      <w:r w:rsidR="00191A76" w:rsidRPr="00DD39D0">
        <w:rPr>
          <w:rFonts w:ascii="Times New Roman" w:eastAsia="Times New Roman" w:hAnsi="Times New Roman"/>
          <w:i/>
          <w:sz w:val="28"/>
          <w:szCs w:val="28"/>
          <w:lang w:val="uk-UA" w:eastAsia="ar-SA"/>
        </w:rPr>
        <w:t>Дисертантом виконано обстеження дітей з атопічними захворюваннями та здійснено аналіз отриманих даних</w:t>
      </w:r>
      <w:r w:rsidR="00191A76"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Comparative analysis of the role of domestic allergens in atopic dermatitis etiology in children / </w:t>
      </w:r>
      <w:r w:rsidRPr="00DD39D0">
        <w:rPr>
          <w:rFonts w:ascii="Times New Roman" w:eastAsia="Times New Roman" w:hAnsi="Times New Roman"/>
          <w:sz w:val="28"/>
          <w:szCs w:val="28"/>
          <w:lang w:eastAsia="ar-SA"/>
        </w:rPr>
        <w:t>V</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K</w:t>
      </w:r>
      <w:r w:rsidRPr="00DD39D0">
        <w:rPr>
          <w:rFonts w:ascii="Times New Roman" w:eastAsia="Times New Roman" w:hAnsi="Times New Roman"/>
          <w:sz w:val="28"/>
          <w:szCs w:val="28"/>
          <w:lang w:val="uk-UA" w:eastAsia="ar-SA"/>
        </w:rPr>
        <w:t xml:space="preserve">. Shmulich, </w:t>
      </w:r>
      <w:r w:rsidRPr="00DD39D0">
        <w:rPr>
          <w:rFonts w:ascii="Times New Roman" w:eastAsia="Times New Roman" w:hAnsi="Times New Roman"/>
          <w:sz w:val="28"/>
          <w:szCs w:val="28"/>
          <w:lang w:eastAsia="ar-SA"/>
        </w:rPr>
        <w:t>M</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K</w:t>
      </w:r>
      <w:r w:rsidRPr="00DD39D0">
        <w:rPr>
          <w:rFonts w:ascii="Times New Roman" w:eastAsia="Times New Roman" w:hAnsi="Times New Roman"/>
          <w:sz w:val="28"/>
          <w:szCs w:val="28"/>
          <w:lang w:val="uk-UA" w:eastAsia="ar-SA"/>
        </w:rPr>
        <w:t xml:space="preserve">. Uryvayva, </w:t>
      </w:r>
      <w:r w:rsidRPr="00DD39D0">
        <w:rPr>
          <w:rFonts w:ascii="Times New Roman" w:eastAsia="Times New Roman" w:hAnsi="Times New Roman"/>
          <w:sz w:val="28"/>
          <w:szCs w:val="28"/>
          <w:lang w:val="uk-UA" w:eastAsia="ar-SA"/>
        </w:rPr>
        <w:br/>
      </w:r>
      <w:r w:rsidRPr="00DD39D0">
        <w:rPr>
          <w:rFonts w:ascii="Times New Roman" w:eastAsia="Times New Roman" w:hAnsi="Times New Roman"/>
          <w:sz w:val="28"/>
          <w:szCs w:val="28"/>
          <w:lang w:eastAsia="ar-SA"/>
        </w:rPr>
        <w:t>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Lupaltsova, </w:t>
      </w:r>
      <w:r w:rsidRPr="00DD39D0">
        <w:rPr>
          <w:rFonts w:ascii="Times New Roman" w:eastAsia="Times New Roman" w:hAnsi="Times New Roman"/>
          <w:sz w:val="28"/>
          <w:szCs w:val="28"/>
          <w:lang w:eastAsia="ar-SA"/>
        </w:rPr>
        <w:t>V</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V</w:t>
      </w:r>
      <w:r w:rsidRPr="00DD39D0">
        <w:rPr>
          <w:rFonts w:ascii="Times New Roman" w:eastAsia="Times New Roman" w:hAnsi="Times New Roman"/>
          <w:sz w:val="28"/>
          <w:szCs w:val="28"/>
          <w:lang w:val="uk-UA" w:eastAsia="ar-SA"/>
        </w:rPr>
        <w:t xml:space="preserve">. Staruseva, </w:t>
      </w:r>
      <w:r w:rsidRPr="00DD39D0">
        <w:rPr>
          <w:rFonts w:ascii="Times New Roman" w:eastAsia="Times New Roman" w:hAnsi="Times New Roman"/>
          <w:sz w:val="28"/>
          <w:szCs w:val="28"/>
          <w:lang w:eastAsia="ar-SA"/>
        </w:rPr>
        <w:t>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Rybka, </w:t>
      </w:r>
      <w:r w:rsidRPr="00DD39D0">
        <w:rPr>
          <w:rFonts w:ascii="Times New Roman" w:eastAsia="Times New Roman" w:hAnsi="Times New Roman"/>
          <w:sz w:val="28"/>
          <w:szCs w:val="28"/>
          <w:lang w:eastAsia="ar-SA"/>
        </w:rPr>
        <w:t>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V</w:t>
      </w:r>
      <w:r w:rsidRPr="00DD39D0">
        <w:rPr>
          <w:rFonts w:ascii="Times New Roman" w:eastAsia="Times New Roman" w:hAnsi="Times New Roman"/>
          <w:sz w:val="28"/>
          <w:szCs w:val="28"/>
          <w:lang w:val="uk-UA" w:eastAsia="ar-SA"/>
        </w:rPr>
        <w:t xml:space="preserve">. Shmulich, </w:t>
      </w:r>
      <w:r w:rsidRPr="00DD39D0">
        <w:rPr>
          <w:rFonts w:ascii="Times New Roman" w:eastAsia="Times New Roman" w:hAnsi="Times New Roman"/>
          <w:sz w:val="28"/>
          <w:szCs w:val="28"/>
          <w:lang w:val="uk-UA" w:eastAsia="ar-SA"/>
        </w:rPr>
        <w:br/>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Kryvenko // Inter collegas. – 2015. – 2 (3). – С.205-211. https://inter.knmu.edu.ua/?journal=pub&amp;page=article&amp;op=view&amp;path%5B%5D=67 (</w:t>
      </w:r>
      <w:r w:rsidRPr="00DD39D0">
        <w:rPr>
          <w:rFonts w:ascii="Times New Roman" w:eastAsia="Times New Roman" w:hAnsi="Times New Roman"/>
          <w:i/>
          <w:sz w:val="28"/>
          <w:szCs w:val="28"/>
          <w:lang w:val="uk-UA" w:eastAsia="ar-SA"/>
        </w:rPr>
        <w:t>Дисертантом виконано аналіз отриманих даних щодо провідної ролі алергенів у розвитку атопічного дерматиту у дітей)</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Комплексний аналіз стоматологічного статусу дітей, хворих на алергічні захворювання / Р. С. Назарян, Л. С. Кривенко // Український стоматологічний альманах. – 2016. – №1, Т.2. – С.76-80. (</w:t>
      </w:r>
      <w:r w:rsidRPr="00DD39D0">
        <w:rPr>
          <w:rFonts w:ascii="Times New Roman" w:eastAsia="Times New Roman" w:hAnsi="Times New Roman"/>
          <w:i/>
          <w:sz w:val="28"/>
          <w:szCs w:val="28"/>
          <w:lang w:val="uk-UA" w:eastAsia="ar-SA"/>
        </w:rPr>
        <w:t>Дисертантом проведено клінічне стоматологічне обстеження пацієнтів та здійснено аналіз отриманих даних</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Регресійна модель зв’язку рівня імуноглобуліну А та стану тканин пародонту у дітей з бронхіальною астмою / </w:t>
      </w:r>
      <w:r w:rsidRPr="00DD39D0">
        <w:rPr>
          <w:rFonts w:ascii="Times New Roman" w:eastAsia="Times New Roman" w:hAnsi="Times New Roman"/>
          <w:sz w:val="28"/>
          <w:szCs w:val="28"/>
          <w:lang w:val="uk-UA" w:eastAsia="ar-SA"/>
        </w:rPr>
        <w:br/>
        <w:t xml:space="preserve">Л. С. Кривенко, Р. С. Назарян // Вісник проблем медицини та біології. – </w:t>
      </w:r>
      <w:r w:rsidRPr="00DD39D0">
        <w:rPr>
          <w:rFonts w:ascii="Times New Roman" w:eastAsia="Times New Roman" w:hAnsi="Times New Roman"/>
          <w:sz w:val="28"/>
          <w:szCs w:val="28"/>
          <w:lang w:val="uk-UA" w:eastAsia="ar-SA"/>
        </w:rPr>
        <w:lastRenderedPageBreak/>
        <w:t xml:space="preserve">2016. – </w:t>
      </w:r>
      <w:r w:rsidR="0094668F">
        <w:rPr>
          <w:rFonts w:ascii="Times New Roman" w:eastAsia="Times New Roman" w:hAnsi="Times New Roman"/>
          <w:sz w:val="28"/>
          <w:szCs w:val="28"/>
          <w:lang w:val="uk-UA" w:eastAsia="ar-SA"/>
        </w:rPr>
        <w:t>Вип. 3, Т.2 (132)</w:t>
      </w:r>
      <w:r w:rsidRPr="00DD39D0">
        <w:rPr>
          <w:rFonts w:ascii="Times New Roman" w:eastAsia="Times New Roman" w:hAnsi="Times New Roman"/>
          <w:sz w:val="28"/>
          <w:szCs w:val="28"/>
          <w:lang w:val="uk-UA" w:eastAsia="ar-SA"/>
        </w:rPr>
        <w:t xml:space="preserve"> – С. 132-138. (</w:t>
      </w:r>
      <w:r w:rsidRPr="00DD39D0">
        <w:rPr>
          <w:rFonts w:ascii="Times New Roman" w:eastAsia="Times New Roman" w:hAnsi="Times New Roman"/>
          <w:i/>
          <w:sz w:val="28"/>
          <w:szCs w:val="28"/>
          <w:lang w:val="uk-UA" w:eastAsia="ar-SA"/>
        </w:rPr>
        <w:t>Дисертантом проведено клінічне стоматологічне обстеження пацієнтів та здійснено регресійний аналіз отриманих даних</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w:t>
      </w:r>
      <w:r w:rsidRPr="00DD39D0">
        <w:rPr>
          <w:rFonts w:ascii="Times New Roman" w:eastAsia="Times New Roman" w:hAnsi="Times New Roman"/>
          <w:sz w:val="28"/>
          <w:szCs w:val="28"/>
          <w:lang w:val="ru-RU" w:eastAsia="ar-SA"/>
        </w:rPr>
        <w:t xml:space="preserve">Закономірності розвитку та формування зубощелепної системи дітей, народжених передчасно / </w:t>
      </w:r>
      <w:r w:rsidRPr="00DD39D0">
        <w:rPr>
          <w:rFonts w:ascii="Times New Roman" w:eastAsia="Times New Roman" w:hAnsi="Times New Roman"/>
          <w:sz w:val="28"/>
          <w:szCs w:val="28"/>
          <w:lang w:val="uk-UA" w:eastAsia="ar-SA"/>
        </w:rPr>
        <w:t xml:space="preserve">І. Ю. </w:t>
      </w:r>
      <w:r w:rsidRPr="00DD39D0">
        <w:rPr>
          <w:rFonts w:ascii="Times New Roman" w:eastAsia="Times New Roman" w:hAnsi="Times New Roman"/>
          <w:sz w:val="28"/>
          <w:szCs w:val="28"/>
          <w:lang w:val="ru-RU" w:eastAsia="ar-SA"/>
        </w:rPr>
        <w:t xml:space="preserve">Кондратова, </w:t>
      </w:r>
      <w:r w:rsidRPr="00DD39D0">
        <w:rPr>
          <w:rFonts w:ascii="Times New Roman" w:eastAsia="Times New Roman" w:hAnsi="Times New Roman"/>
          <w:sz w:val="28"/>
          <w:szCs w:val="28"/>
          <w:lang w:val="ru-RU" w:eastAsia="ar-SA"/>
        </w:rPr>
        <w:br/>
      </w:r>
      <w:r w:rsidRPr="00DD39D0">
        <w:rPr>
          <w:rFonts w:ascii="Times New Roman" w:eastAsia="Times New Roman" w:hAnsi="Times New Roman"/>
          <w:sz w:val="28"/>
          <w:szCs w:val="28"/>
          <w:lang w:val="uk-UA" w:eastAsia="ar-SA"/>
        </w:rPr>
        <w:t xml:space="preserve">Р. С. </w:t>
      </w:r>
      <w:r w:rsidRPr="00DD39D0">
        <w:rPr>
          <w:rFonts w:ascii="Times New Roman" w:eastAsia="Times New Roman" w:hAnsi="Times New Roman"/>
          <w:sz w:val="28"/>
          <w:szCs w:val="28"/>
          <w:lang w:val="ru-RU" w:eastAsia="ar-SA"/>
        </w:rPr>
        <w:t xml:space="preserve">Назарян, </w:t>
      </w:r>
      <w:r w:rsidRPr="00DD39D0">
        <w:rPr>
          <w:rFonts w:ascii="Times New Roman" w:eastAsia="Times New Roman" w:hAnsi="Times New Roman"/>
          <w:sz w:val="28"/>
          <w:szCs w:val="28"/>
          <w:lang w:val="uk-UA" w:eastAsia="ar-SA"/>
        </w:rPr>
        <w:t xml:space="preserve">А. О. </w:t>
      </w:r>
      <w:r w:rsidRPr="00DD39D0">
        <w:rPr>
          <w:rFonts w:ascii="Times New Roman" w:eastAsia="Times New Roman" w:hAnsi="Times New Roman"/>
          <w:sz w:val="28"/>
          <w:szCs w:val="28"/>
          <w:lang w:val="ru-RU" w:eastAsia="ar-SA"/>
        </w:rPr>
        <w:t>Хоценко</w:t>
      </w:r>
      <w:r w:rsidRPr="00DD39D0">
        <w:rPr>
          <w:rFonts w:ascii="Times New Roman" w:eastAsia="Times New Roman" w:hAnsi="Times New Roman"/>
          <w:sz w:val="28"/>
          <w:szCs w:val="28"/>
          <w:lang w:val="uk-UA" w:eastAsia="ar-SA"/>
        </w:rPr>
        <w:t>, Л. С. Кривенко</w:t>
      </w:r>
      <w:r w:rsidRPr="00DD39D0">
        <w:rPr>
          <w:rFonts w:ascii="Times New Roman" w:eastAsia="Times New Roman" w:hAnsi="Times New Roman"/>
          <w:sz w:val="28"/>
          <w:szCs w:val="28"/>
          <w:lang w:val="ru-RU" w:eastAsia="ar-SA"/>
        </w:rPr>
        <w:t xml:space="preserve"> // Медицина сегодня и завтра.</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 xml:space="preserve"> 2015.</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 xml:space="preserve"> № 4 (69). –</w:t>
      </w:r>
      <w:r w:rsidRPr="00DD39D0">
        <w:rPr>
          <w:rFonts w:ascii="Times New Roman" w:eastAsia="Times New Roman" w:hAnsi="Times New Roman"/>
          <w:sz w:val="28"/>
          <w:szCs w:val="28"/>
          <w:lang w:val="uk-UA" w:eastAsia="ar-SA"/>
        </w:rPr>
        <w:t xml:space="preserve"> С. 125-127. (</w:t>
      </w:r>
      <w:r w:rsidRPr="00DD39D0">
        <w:rPr>
          <w:rFonts w:ascii="Times New Roman" w:eastAsia="Times New Roman" w:hAnsi="Times New Roman"/>
          <w:i/>
          <w:sz w:val="28"/>
          <w:szCs w:val="28"/>
          <w:lang w:val="uk-UA" w:eastAsia="ar-SA"/>
        </w:rPr>
        <w:t>Дисертантом проведено клінічне стоматологічне обстеження пацієнтів та здійснено аналіз отриманих даних</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Спосіб оптимізації лікування хронічного гінгівіту у дітей, хворих на атопічні захворювання / Л. С. Кривенко // Вісник проблем медицини та біології. – 2017. – Вип.3, том 2 (138). – С.193-196</w:t>
      </w:r>
      <w:r w:rsidR="0050759E" w:rsidRPr="0050759E">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w:t>
      </w:r>
      <w:r w:rsidR="00AD0387" w:rsidRPr="00D142D9">
        <w:rPr>
          <w:rFonts w:ascii="Times New Roman" w:eastAsia="Times New Roman" w:hAnsi="Times New Roman"/>
          <w:sz w:val="28"/>
          <w:szCs w:val="28"/>
          <w:lang w:val="uk-UA" w:eastAsia="ar-SA"/>
        </w:rPr>
        <w:t>Тканевая активность синтазы оксида азота в ротовой полости при атопической патологии / Р. С. Назарян, Л. С. Криве</w:t>
      </w:r>
      <w:r w:rsidR="00AD0387">
        <w:rPr>
          <w:rFonts w:ascii="Times New Roman" w:eastAsia="Times New Roman" w:hAnsi="Times New Roman"/>
          <w:sz w:val="28"/>
          <w:szCs w:val="28"/>
          <w:lang w:val="uk-UA" w:eastAsia="ar-SA"/>
        </w:rPr>
        <w:t>нко, В. В. Гаргин // Morphologia</w:t>
      </w:r>
      <w:r w:rsidR="00AD0387" w:rsidRPr="00D142D9">
        <w:rPr>
          <w:rFonts w:ascii="Times New Roman" w:eastAsia="Times New Roman" w:hAnsi="Times New Roman"/>
          <w:sz w:val="28"/>
          <w:szCs w:val="28"/>
          <w:lang w:val="uk-UA" w:eastAsia="ar-SA"/>
        </w:rPr>
        <w:t>. - 2016. - Т. 10, № 3. - С. 212-216</w:t>
      </w:r>
      <w:r w:rsidR="00AD0387" w:rsidRPr="00DD39D0">
        <w:rPr>
          <w:rFonts w:ascii="Times New Roman" w:eastAsia="Times New Roman" w:hAnsi="Times New Roman"/>
          <w:sz w:val="28"/>
          <w:szCs w:val="28"/>
          <w:lang w:val="uk-UA" w:eastAsia="ar-SA"/>
        </w:rPr>
        <w:t>.</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i/>
          <w:sz w:val="28"/>
          <w:szCs w:val="28"/>
          <w:lang w:val="uk-UA" w:eastAsia="ar-SA"/>
        </w:rPr>
        <w:t>Дисертантом запропоновано модель  експерименту, проаналізовано отримані дані змін тканин ротової порожнини)</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i/>
          <w:sz w:val="28"/>
          <w:szCs w:val="28"/>
          <w:lang w:val="uk-UA" w:eastAsia="ar-SA"/>
        </w:rPr>
      </w:pPr>
      <w:r w:rsidRPr="00DD39D0">
        <w:rPr>
          <w:rFonts w:ascii="Times New Roman" w:eastAsia="Times New Roman" w:hAnsi="Times New Roman"/>
          <w:sz w:val="28"/>
          <w:szCs w:val="28"/>
          <w:lang w:val="uk-UA" w:eastAsia="ar-SA"/>
        </w:rPr>
        <w:t xml:space="preserve">Кривенко Л. С. Перспектива використання поліморфізму гена </w:t>
      </w:r>
      <w:r w:rsidRPr="00DD39D0">
        <w:rPr>
          <w:rFonts w:ascii="Times New Roman" w:eastAsia="Times New Roman" w:hAnsi="Times New Roman"/>
          <w:sz w:val="28"/>
          <w:szCs w:val="28"/>
          <w:lang w:val="ru-RU" w:eastAsia="ar-SA"/>
        </w:rPr>
        <w:t>MUC</w:t>
      </w:r>
      <w:r w:rsidRPr="00DD39D0">
        <w:rPr>
          <w:rFonts w:ascii="Times New Roman" w:eastAsia="Times New Roman" w:hAnsi="Times New Roman"/>
          <w:sz w:val="28"/>
          <w:szCs w:val="28"/>
          <w:lang w:val="uk-UA" w:eastAsia="ar-SA"/>
        </w:rPr>
        <w:t>5</w:t>
      </w:r>
      <w:r w:rsidRPr="00DD39D0">
        <w:rPr>
          <w:rFonts w:ascii="Times New Roman" w:eastAsia="Times New Roman" w:hAnsi="Times New Roman"/>
          <w:sz w:val="28"/>
          <w:szCs w:val="28"/>
          <w:lang w:val="ru-RU" w:eastAsia="ar-SA"/>
        </w:rPr>
        <w:t>B</w:t>
      </w:r>
      <w:r w:rsidRPr="00DD39D0">
        <w:rPr>
          <w:rFonts w:ascii="Times New Roman" w:eastAsia="Times New Roman" w:hAnsi="Times New Roman"/>
          <w:sz w:val="28"/>
          <w:szCs w:val="28"/>
          <w:lang w:val="uk-UA" w:eastAsia="ar-SA"/>
        </w:rPr>
        <w:t xml:space="preserve"> у діагностиці гінгівіту на тлі атопічних захворювань у дітей Харківської області / Л. С. Кривенко, Р. С. Назарян, Н. Є. Волкова, О. В. Горенська // Новини стоматології. – 2017. – №1 (90). – С. 18-22. </w:t>
      </w:r>
      <w:r w:rsidRPr="00DD39D0">
        <w:rPr>
          <w:rFonts w:ascii="Times New Roman" w:eastAsia="Times New Roman" w:hAnsi="Times New Roman"/>
          <w:i/>
          <w:sz w:val="28"/>
          <w:szCs w:val="28"/>
          <w:lang w:val="uk-UA" w:eastAsia="ar-SA"/>
        </w:rPr>
        <w:t>(Дисертантом проведено стоматологічне обстеження, зібраний клінічний матеріал, проведено аналіз та обробку отриманих даних)</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Можливості використання генетичних предикторів гінгівіту у дітей на тлі атопічних захворювань / Л. С. Кривенко, </w:t>
      </w:r>
      <w:r w:rsidRPr="00DD39D0">
        <w:rPr>
          <w:rFonts w:ascii="Times New Roman" w:eastAsia="Times New Roman" w:hAnsi="Times New Roman"/>
          <w:sz w:val="28"/>
          <w:szCs w:val="28"/>
          <w:lang w:val="uk-UA" w:eastAsia="ar-SA"/>
        </w:rPr>
        <w:br/>
        <w:t xml:space="preserve">Р. С. Назарян, Н. Є. Волкова, О. В. Горенська // Новини стоматології. – 2017. – №2 (91). – С. 89-92. </w:t>
      </w:r>
      <w:r w:rsidRPr="00DD39D0">
        <w:rPr>
          <w:rFonts w:ascii="Times New Roman" w:eastAsia="Times New Roman" w:hAnsi="Times New Roman"/>
          <w:i/>
          <w:sz w:val="28"/>
          <w:szCs w:val="28"/>
          <w:lang w:val="uk-UA" w:eastAsia="ar-SA"/>
        </w:rPr>
        <w:t>(Дисертантом проведено стоматологічне обстеження, зібраний клінічний матеріал, проведено аналіз та обробку отриманих даних)</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i/>
          <w:sz w:val="28"/>
          <w:szCs w:val="28"/>
          <w:lang w:val="uk-UA" w:eastAsia="ar-SA"/>
        </w:rPr>
      </w:pP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Functional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diagnostic</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using</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Electrical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Impedance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Tomography</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Reconstruction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and</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the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Internet</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of</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Things</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uk-UA" w:eastAsia="ar-SA"/>
        </w:rPr>
        <w:br/>
      </w:r>
      <w:r w:rsidRPr="00DD39D0">
        <w:rPr>
          <w:rFonts w:ascii="Times New Roman" w:eastAsia="Times New Roman" w:hAnsi="Times New Roman"/>
          <w:sz w:val="28"/>
          <w:szCs w:val="28"/>
          <w:lang w:eastAsia="ar-SA"/>
        </w:rPr>
        <w:t>A</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Pulavskyi</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Krivenko</w:t>
      </w:r>
      <w:r w:rsidRPr="00DD39D0">
        <w:rPr>
          <w:rFonts w:ascii="Times New Roman" w:eastAsia="Times New Roman" w:hAnsi="Times New Roman"/>
          <w:sz w:val="28"/>
          <w:szCs w:val="28"/>
          <w:lang w:val="uk-UA" w:eastAsia="ar-SA"/>
        </w:rPr>
        <w:t xml:space="preserve"> // 2017 6</w:t>
      </w:r>
      <w:r w:rsidRPr="00DD39D0">
        <w:rPr>
          <w:rFonts w:ascii="Times New Roman" w:eastAsia="Times New Roman" w:hAnsi="Times New Roman"/>
          <w:sz w:val="28"/>
          <w:szCs w:val="28"/>
          <w:lang w:eastAsia="ar-SA"/>
        </w:rPr>
        <w:t>th</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Mediterranean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Conference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Embedded</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Computing</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MECO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proceedings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research</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monograph</w:t>
      </w:r>
      <w:r w:rsidRPr="00DD39D0">
        <w:rPr>
          <w:rFonts w:ascii="Times New Roman" w:eastAsia="Times New Roman" w:hAnsi="Times New Roman"/>
          <w:sz w:val="28"/>
          <w:szCs w:val="28"/>
          <w:lang w:val="uk-UA" w:eastAsia="ar-SA"/>
        </w:rPr>
        <w:t>. – 2017. – Р.379-382</w:t>
      </w:r>
      <w:r w:rsidR="005F7384">
        <w:rPr>
          <w:rFonts w:ascii="Times New Roman" w:eastAsia="Times New Roman" w:hAnsi="Times New Roman"/>
          <w:sz w:val="28"/>
          <w:szCs w:val="28"/>
          <w:lang w:eastAsia="ar-SA"/>
        </w:rPr>
        <w:t>.</w:t>
      </w:r>
      <w:r w:rsidR="005F7384" w:rsidRPr="005F7384">
        <w:rPr>
          <w:rFonts w:ascii="Times New Roman" w:eastAsia="Times New Roman" w:hAnsi="Times New Roman"/>
          <w:sz w:val="28"/>
          <w:szCs w:val="28"/>
          <w:lang w:val="uk-UA" w:eastAsia="ar-SA"/>
        </w:rPr>
        <w:t xml:space="preserve"> </w:t>
      </w:r>
      <w:r w:rsidRPr="00DD39D0">
        <w:rPr>
          <w:rFonts w:ascii="Times New Roman" w:eastAsia="Times New Roman" w:hAnsi="Times New Roman"/>
          <w:i/>
          <w:sz w:val="28"/>
          <w:szCs w:val="28"/>
          <w:lang w:val="uk-UA" w:eastAsia="ar-SA"/>
        </w:rPr>
        <w:t>(Дисертантом проведено обстеження пацієнтів з захворюваннями легень, оброблено клінічні дані та оцінено дані додаткових методів обстеження)</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The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role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of</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nitric</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oxide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synthase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the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modulation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of</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the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immune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response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atopic</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disease</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V</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V</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Gargin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R</w:t>
      </w:r>
      <w:r w:rsidRPr="00DD39D0">
        <w:rPr>
          <w:rFonts w:ascii="Times New Roman" w:eastAsia="Times New Roman" w:hAnsi="Times New Roman"/>
          <w:sz w:val="28"/>
          <w:szCs w:val="28"/>
          <w:lang w:val="uk-UA" w:eastAsia="ar-SA"/>
        </w:rPr>
        <w:t>.</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Nazaryan</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The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New</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Armenian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Medical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Journal</w:t>
      </w:r>
      <w:r w:rsidRPr="00DD39D0">
        <w:rPr>
          <w:rFonts w:ascii="Times New Roman" w:eastAsia="Times New Roman" w:hAnsi="Times New Roman"/>
          <w:sz w:val="28"/>
          <w:szCs w:val="28"/>
          <w:lang w:val="uk-UA" w:eastAsia="ar-SA"/>
        </w:rPr>
        <w:t xml:space="preserve">. – 2017. – </w:t>
      </w:r>
      <w:r w:rsidRPr="00DD39D0">
        <w:rPr>
          <w:rFonts w:ascii="Times New Roman" w:eastAsia="Times New Roman" w:hAnsi="Times New Roman"/>
          <w:sz w:val="28"/>
          <w:szCs w:val="28"/>
          <w:lang w:eastAsia="ar-SA"/>
        </w:rPr>
        <w:t>Vol</w:t>
      </w:r>
      <w:r w:rsidR="0094668F">
        <w:rPr>
          <w:rFonts w:ascii="Times New Roman" w:eastAsia="Times New Roman" w:hAnsi="Times New Roman"/>
          <w:sz w:val="28"/>
          <w:szCs w:val="28"/>
          <w:lang w:val="uk-UA" w:eastAsia="ar-SA"/>
        </w:rPr>
        <w:t xml:space="preserve">.11, </w:t>
      </w:r>
      <w:r w:rsidRPr="00DD39D0">
        <w:rPr>
          <w:rFonts w:ascii="Times New Roman" w:eastAsia="Times New Roman" w:hAnsi="Times New Roman"/>
          <w:sz w:val="28"/>
          <w:szCs w:val="28"/>
          <w:lang w:val="uk-UA" w:eastAsia="ar-SA"/>
        </w:rPr>
        <w:t xml:space="preserve">№ 2. – </w:t>
      </w:r>
      <w:r w:rsidRPr="00DD39D0">
        <w:rPr>
          <w:rFonts w:ascii="Times New Roman" w:eastAsia="Times New Roman" w:hAnsi="Times New Roman"/>
          <w:sz w:val="28"/>
          <w:szCs w:val="28"/>
          <w:lang w:eastAsia="ar-SA"/>
        </w:rPr>
        <w:t>P</w:t>
      </w:r>
      <w:r w:rsidRPr="00DD39D0">
        <w:rPr>
          <w:rFonts w:ascii="Times New Roman" w:eastAsia="Times New Roman" w:hAnsi="Times New Roman"/>
          <w:sz w:val="28"/>
          <w:szCs w:val="28"/>
          <w:lang w:val="uk-UA" w:eastAsia="ar-SA"/>
        </w:rPr>
        <w:t>. 52-57 (</w:t>
      </w:r>
      <w:r w:rsidRPr="00DD39D0">
        <w:rPr>
          <w:rFonts w:ascii="Times New Roman" w:eastAsia="Times New Roman" w:hAnsi="Times New Roman"/>
          <w:i/>
          <w:sz w:val="28"/>
          <w:szCs w:val="28"/>
          <w:lang w:val="uk-UA" w:eastAsia="ar-SA"/>
        </w:rPr>
        <w:t>Дисертантом запропоновано модель  експерименту, проаналізовано отримані дані змін тканин ротової порожнини</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w:t>
      </w:r>
      <w:r w:rsidRPr="00DD39D0">
        <w:rPr>
          <w:rFonts w:ascii="Times New Roman" w:eastAsia="Times New Roman" w:hAnsi="Times New Roman"/>
          <w:sz w:val="28"/>
          <w:szCs w:val="28"/>
          <w:lang w:val="ru-RU" w:eastAsia="ar-SA"/>
        </w:rPr>
        <w:t xml:space="preserve"> Коррекция иммунологического статуса при оптимизации </w:t>
      </w:r>
      <w:r w:rsidRPr="00DD39D0">
        <w:rPr>
          <w:rFonts w:ascii="Times New Roman" w:eastAsia="Times New Roman" w:hAnsi="Times New Roman"/>
          <w:sz w:val="28"/>
          <w:szCs w:val="28"/>
          <w:lang w:val="ru-RU" w:eastAsia="ar-SA"/>
        </w:rPr>
        <w:lastRenderedPageBreak/>
        <w:t xml:space="preserve">лечения хронического гингивита на фоне атопических заболеваний детей 12-18 лет / </w:t>
      </w:r>
      <w:r w:rsidRPr="00DD39D0">
        <w:rPr>
          <w:rFonts w:ascii="Times New Roman" w:eastAsia="Times New Roman" w:hAnsi="Times New Roman"/>
          <w:sz w:val="28"/>
          <w:szCs w:val="28"/>
          <w:lang w:val="uk-UA" w:eastAsia="ar-SA"/>
        </w:rPr>
        <w:t xml:space="preserve">Л. С. Кривенко // </w:t>
      </w:r>
      <w:r w:rsidRPr="00DD39D0">
        <w:rPr>
          <w:rFonts w:ascii="Times New Roman" w:eastAsia="Times New Roman" w:hAnsi="Times New Roman"/>
          <w:sz w:val="28"/>
          <w:szCs w:val="28"/>
          <w:lang w:val="ru-RU" w:eastAsia="ar-SA"/>
        </w:rPr>
        <w:t>Современная стоматология</w:t>
      </w:r>
      <w:r w:rsidR="0026295B">
        <w:rPr>
          <w:rFonts w:ascii="Times New Roman" w:eastAsia="Times New Roman" w:hAnsi="Times New Roman"/>
          <w:sz w:val="28"/>
          <w:szCs w:val="28"/>
          <w:lang w:val="ru-RU" w:eastAsia="ar-SA"/>
        </w:rPr>
        <w:t xml:space="preserve"> (Беларусь)</w:t>
      </w:r>
      <w:r w:rsidRPr="00DD39D0">
        <w:rPr>
          <w:rFonts w:ascii="Times New Roman" w:eastAsia="Times New Roman" w:hAnsi="Times New Roman"/>
          <w:sz w:val="28"/>
          <w:szCs w:val="28"/>
          <w:lang w:val="ru-RU" w:eastAsia="ar-SA"/>
        </w:rPr>
        <w:t xml:space="preserve">. </w:t>
      </w:r>
      <w:r w:rsidRPr="00DD39D0">
        <w:rPr>
          <w:rFonts w:ascii="Times New Roman" w:eastAsia="Times New Roman" w:hAnsi="Times New Roman"/>
          <w:sz w:val="28"/>
          <w:szCs w:val="28"/>
          <w:lang w:val="uk-UA" w:eastAsia="ar-SA"/>
        </w:rPr>
        <w:t>- №3. – 2017. – С.74-76.</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Изменение иммунологических показателей при лечении хронического гингивита детей на фоне атопических заболеваний / </w:t>
      </w:r>
      <w:r w:rsidRPr="00DD39D0">
        <w:rPr>
          <w:rFonts w:ascii="Times New Roman" w:eastAsia="Times New Roman" w:hAnsi="Times New Roman"/>
          <w:sz w:val="28"/>
          <w:szCs w:val="28"/>
          <w:lang w:val="uk-UA" w:eastAsia="ar-SA"/>
        </w:rPr>
        <w:br/>
        <w:t>Л. С. Кривенко // Стоматолог</w:t>
      </w:r>
      <w:r w:rsidR="0026295B">
        <w:rPr>
          <w:rFonts w:ascii="Times New Roman" w:eastAsia="Times New Roman" w:hAnsi="Times New Roman"/>
          <w:sz w:val="28"/>
          <w:szCs w:val="28"/>
          <w:lang w:val="uk-UA" w:eastAsia="ar-SA"/>
        </w:rPr>
        <w:t xml:space="preserve"> (Беларусь)</w:t>
      </w:r>
      <w:r w:rsidRPr="00DD39D0">
        <w:rPr>
          <w:rFonts w:ascii="Times New Roman" w:eastAsia="Times New Roman" w:hAnsi="Times New Roman"/>
          <w:sz w:val="28"/>
          <w:szCs w:val="28"/>
          <w:lang w:val="uk-UA" w:eastAsia="ar-SA"/>
        </w:rPr>
        <w:t>.</w:t>
      </w:r>
      <w:r w:rsidRPr="00DD39D0">
        <w:rPr>
          <w:rFonts w:ascii="Times New Roman" w:eastAsia="Times New Roman" w:hAnsi="Times New Roman"/>
          <w:sz w:val="28"/>
          <w:szCs w:val="28"/>
          <w:lang w:val="ru-RU" w:eastAsia="ar-SA"/>
        </w:rPr>
        <w:t xml:space="preserve"> </w:t>
      </w:r>
      <w:r w:rsidRPr="00DD39D0">
        <w:rPr>
          <w:rFonts w:ascii="Times New Roman" w:eastAsia="Times New Roman" w:hAnsi="Times New Roman"/>
          <w:sz w:val="28"/>
          <w:szCs w:val="28"/>
          <w:lang w:val="uk-UA" w:eastAsia="ar-SA"/>
        </w:rPr>
        <w:t>– 2017. – № 4(27). – С.26-30.</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i/>
          <w:sz w:val="28"/>
          <w:szCs w:val="28"/>
          <w:lang w:val="uk-UA" w:eastAsia="ar-SA"/>
        </w:rPr>
      </w:pP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Salivary lipid peroxidation and periodontal status detection in Ukrainian atopic children with Convolutional Neural Networks</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Kryvenko, V. N. Bezruk, S. A. Krivenko // 2017 4th International Scientific-Practical Conference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“Problems of Infocommunications. Science</w:t>
      </w:r>
      <w:r w:rsidRPr="00DD39D0">
        <w:rPr>
          <w:rFonts w:ascii="Times New Roman" w:eastAsia="Times New Roman" w:hAnsi="Times New Roman"/>
          <w:sz w:val="28"/>
          <w:szCs w:val="28"/>
          <w:lang w:val="ru-RU" w:eastAsia="ar-SA"/>
        </w:rPr>
        <w:t xml:space="preserve"> </w:t>
      </w:r>
      <w:r w:rsidRPr="00DD39D0">
        <w:rPr>
          <w:rFonts w:ascii="Times New Roman" w:eastAsia="Times New Roman" w:hAnsi="Times New Roman"/>
          <w:sz w:val="28"/>
          <w:szCs w:val="28"/>
          <w:lang w:eastAsia="ar-SA"/>
        </w:rPr>
        <w:t>and</w:t>
      </w:r>
      <w:r w:rsidRPr="00DD39D0">
        <w:rPr>
          <w:rFonts w:ascii="Times New Roman" w:eastAsia="Times New Roman" w:hAnsi="Times New Roman"/>
          <w:sz w:val="28"/>
          <w:szCs w:val="28"/>
          <w:lang w:val="ru-RU" w:eastAsia="ar-SA"/>
        </w:rPr>
        <w:t xml:space="preserve"> </w:t>
      </w:r>
      <w:r w:rsidRPr="00DD39D0">
        <w:rPr>
          <w:rFonts w:ascii="Times New Roman" w:eastAsia="Times New Roman" w:hAnsi="Times New Roman"/>
          <w:sz w:val="28"/>
          <w:szCs w:val="28"/>
          <w:lang w:eastAsia="ar-SA"/>
        </w:rPr>
        <w:t>Technology</w:t>
      </w:r>
      <w:r w:rsidRPr="00DD39D0">
        <w:rPr>
          <w:rFonts w:ascii="Times New Roman" w:eastAsia="Times New Roman" w:hAnsi="Times New Roman"/>
          <w:sz w:val="28"/>
          <w:szCs w:val="28"/>
          <w:lang w:val="ru-RU" w:eastAsia="ar-SA"/>
        </w:rPr>
        <w:t>”</w:t>
      </w:r>
      <w:r w:rsidRPr="00DD39D0">
        <w:rPr>
          <w:rFonts w:ascii="Times New Roman" w:eastAsia="Times New Roman" w:hAnsi="Times New Roman"/>
          <w:sz w:val="28"/>
          <w:szCs w:val="28"/>
          <w:lang w:val="uk-UA" w:eastAsia="ar-SA"/>
        </w:rPr>
        <w:t>.</w:t>
      </w:r>
      <w:r w:rsidRPr="00DD39D0">
        <w:rPr>
          <w:rFonts w:ascii="Times New Roman" w:eastAsia="Times New Roman" w:hAnsi="Times New Roman"/>
          <w:sz w:val="28"/>
          <w:szCs w:val="28"/>
          <w:lang w:val="ru-RU" w:eastAsia="ar-SA"/>
        </w:rPr>
        <w:t xml:space="preserve"> – 2017. – </w:t>
      </w:r>
      <w:r w:rsidRPr="00DD39D0">
        <w:rPr>
          <w:rFonts w:ascii="Times New Roman" w:eastAsia="Times New Roman" w:hAnsi="Times New Roman"/>
          <w:sz w:val="28"/>
          <w:szCs w:val="28"/>
          <w:lang w:eastAsia="ar-SA"/>
        </w:rPr>
        <w:t>P</w:t>
      </w:r>
      <w:r w:rsidRPr="00DD39D0">
        <w:rPr>
          <w:rFonts w:ascii="Times New Roman" w:eastAsia="Times New Roman" w:hAnsi="Times New Roman"/>
          <w:sz w:val="28"/>
          <w:szCs w:val="28"/>
          <w:lang w:val="ru-RU" w:eastAsia="ar-SA"/>
        </w:rPr>
        <w:t>.122-125.</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i/>
          <w:sz w:val="28"/>
          <w:szCs w:val="28"/>
          <w:lang w:val="uk-UA" w:eastAsia="ar-SA"/>
        </w:rPr>
        <w:t>(Дисертантом проведено клінічне стоматологічне обстеження, отримано матеріал для біохімічних досліджень, проведений статистичний аналіз)</w:t>
      </w:r>
    </w:p>
    <w:p w:rsidR="00191A76" w:rsidRPr="00DD39D0" w:rsidRDefault="00191A76" w:rsidP="00D61330">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Correlation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of</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the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antioxidant</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level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saliva</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and</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periodontal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status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Ukrainian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children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with</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atopy</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Iraqi</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Journal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of</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Public</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Health</w:t>
      </w:r>
      <w:r w:rsidRPr="00DD39D0">
        <w:rPr>
          <w:rFonts w:ascii="Times New Roman" w:eastAsia="Times New Roman" w:hAnsi="Times New Roman"/>
          <w:sz w:val="28"/>
          <w:szCs w:val="28"/>
          <w:lang w:val="uk-UA" w:eastAsia="ar-SA"/>
        </w:rPr>
        <w:t>. –</w:t>
      </w:r>
      <w:r w:rsidRPr="00DD39D0">
        <w:rPr>
          <w:rFonts w:ascii="Times New Roman" w:eastAsia="Times New Roman" w:hAnsi="Times New Roman"/>
          <w:sz w:val="28"/>
          <w:szCs w:val="28"/>
          <w:lang w:eastAsia="ar-SA"/>
        </w:rPr>
        <w:t xml:space="preserve"> </w:t>
      </w:r>
      <w:r w:rsidRPr="00DD39D0">
        <w:rPr>
          <w:rFonts w:ascii="Times New Roman" w:eastAsia="Times New Roman" w:hAnsi="Times New Roman"/>
          <w:sz w:val="28"/>
          <w:szCs w:val="28"/>
          <w:lang w:val="uk-UA" w:eastAsia="ar-SA"/>
        </w:rPr>
        <w:t xml:space="preserve">2017. </w:t>
      </w:r>
      <w:r w:rsidRPr="00DD39D0">
        <w:rPr>
          <w:rFonts w:ascii="Times New Roman" w:eastAsia="Times New Roman" w:hAnsi="Times New Roman"/>
          <w:sz w:val="28"/>
          <w:szCs w:val="28"/>
          <w:lang w:eastAsia="ar-SA"/>
        </w:rPr>
        <w:t>–</w:t>
      </w:r>
      <w:r w:rsidRPr="00DD39D0">
        <w:rPr>
          <w:rFonts w:ascii="Times New Roman" w:eastAsia="Times New Roman" w:hAnsi="Times New Roman"/>
          <w:sz w:val="28"/>
          <w:szCs w:val="28"/>
          <w:lang w:val="uk-UA" w:eastAsia="ar-SA"/>
        </w:rPr>
        <w:t xml:space="preserve"> № 1. –</w:t>
      </w:r>
      <w:r w:rsidRPr="00DD39D0">
        <w:rPr>
          <w:rFonts w:ascii="Times New Roman" w:eastAsia="Times New Roman" w:hAnsi="Times New Roman"/>
          <w:sz w:val="28"/>
          <w:szCs w:val="28"/>
          <w:lang w:eastAsia="ar-SA"/>
        </w:rPr>
        <w:t xml:space="preserve"> </w:t>
      </w:r>
      <w:r w:rsidRPr="00DD39D0">
        <w:rPr>
          <w:rFonts w:ascii="Times New Roman" w:eastAsia="Times New Roman" w:hAnsi="Times New Roman"/>
          <w:sz w:val="28"/>
          <w:szCs w:val="28"/>
          <w:lang w:val="uk-UA" w:eastAsia="ar-SA"/>
        </w:rPr>
        <w:t>С. 26-29.</w:t>
      </w:r>
      <w:r w:rsidR="00D61330">
        <w:rPr>
          <w:rFonts w:ascii="Times New Roman" w:eastAsia="Times New Roman" w:hAnsi="Times New Roman"/>
          <w:sz w:val="28"/>
          <w:szCs w:val="28"/>
          <w:lang w:val="uk-UA" w:eastAsia="ar-SA"/>
        </w:rPr>
        <w:t xml:space="preserve"> </w:t>
      </w:r>
      <w:r w:rsidR="00D61330" w:rsidRPr="00D61330">
        <w:rPr>
          <w:rFonts w:ascii="Times New Roman" w:eastAsia="Times New Roman" w:hAnsi="Times New Roman"/>
          <w:sz w:val="28"/>
          <w:szCs w:val="28"/>
          <w:lang w:val="uk-UA" w:eastAsia="ar-SA"/>
        </w:rPr>
        <w:t>http:</w:t>
      </w:r>
      <w:r w:rsidR="00D61330">
        <w:rPr>
          <w:rFonts w:ascii="Times New Roman" w:eastAsia="Times New Roman" w:hAnsi="Times New Roman"/>
          <w:sz w:val="28"/>
          <w:szCs w:val="28"/>
          <w:lang w:val="uk-UA" w:eastAsia="ar-SA"/>
        </w:rPr>
        <w:t xml:space="preserve"> </w:t>
      </w:r>
      <w:r w:rsidR="00D61330" w:rsidRPr="00D61330">
        <w:rPr>
          <w:rFonts w:ascii="Times New Roman" w:eastAsia="Times New Roman" w:hAnsi="Times New Roman"/>
          <w:sz w:val="28"/>
          <w:szCs w:val="28"/>
          <w:lang w:val="uk-UA" w:eastAsia="ar-SA"/>
        </w:rPr>
        <w:t>//</w:t>
      </w:r>
      <w:r w:rsidR="00D61330">
        <w:rPr>
          <w:rFonts w:ascii="Times New Roman" w:eastAsia="Times New Roman" w:hAnsi="Times New Roman"/>
          <w:sz w:val="28"/>
          <w:szCs w:val="28"/>
          <w:lang w:val="uk-UA" w:eastAsia="ar-SA"/>
        </w:rPr>
        <w:t xml:space="preserve"> www.jocms.org </w:t>
      </w:r>
      <w:r w:rsidR="00D61330" w:rsidRPr="00D61330">
        <w:rPr>
          <w:rFonts w:ascii="Times New Roman" w:eastAsia="Times New Roman" w:hAnsi="Times New Roman"/>
          <w:sz w:val="28"/>
          <w:szCs w:val="28"/>
          <w:lang w:val="uk-UA" w:eastAsia="ar-SA"/>
        </w:rPr>
        <w:t>/</w:t>
      </w:r>
      <w:r w:rsidR="00D61330">
        <w:rPr>
          <w:rFonts w:ascii="Times New Roman" w:eastAsia="Times New Roman" w:hAnsi="Times New Roman"/>
          <w:sz w:val="28"/>
          <w:szCs w:val="28"/>
          <w:lang w:val="uk-UA" w:eastAsia="ar-SA"/>
        </w:rPr>
        <w:t xml:space="preserve"> index.php / ijph / article/ view/ 233</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 xml:space="preserve">Kryvenko L. S. Orthodontic aspects of dental status in prematurely born children / L. S. Kryvenko // </w:t>
      </w:r>
      <w:r w:rsidRPr="00DD39D0">
        <w:rPr>
          <w:rFonts w:ascii="Times New Roman" w:eastAsia="Times New Roman" w:hAnsi="Times New Roman"/>
          <w:sz w:val="28"/>
          <w:szCs w:val="28"/>
          <w:lang w:val="ru-RU" w:eastAsia="ar-SA"/>
        </w:rPr>
        <w:t>Наука</w:t>
      </w:r>
      <w:r w:rsidRPr="00DD39D0">
        <w:rPr>
          <w:rFonts w:ascii="Times New Roman" w:eastAsia="Times New Roman" w:hAnsi="Times New Roman"/>
          <w:sz w:val="28"/>
          <w:szCs w:val="28"/>
          <w:lang w:eastAsia="ar-SA"/>
        </w:rPr>
        <w:t xml:space="preserve"> </w:t>
      </w:r>
      <w:r w:rsidRPr="00DD39D0">
        <w:rPr>
          <w:rFonts w:ascii="Times New Roman" w:eastAsia="Times New Roman" w:hAnsi="Times New Roman"/>
          <w:sz w:val="28"/>
          <w:szCs w:val="28"/>
          <w:lang w:val="ru-RU" w:eastAsia="ar-SA"/>
        </w:rPr>
        <w:t>и</w:t>
      </w:r>
      <w:r w:rsidRPr="00DD39D0">
        <w:rPr>
          <w:rFonts w:ascii="Times New Roman" w:eastAsia="Times New Roman" w:hAnsi="Times New Roman"/>
          <w:sz w:val="28"/>
          <w:szCs w:val="28"/>
          <w:lang w:eastAsia="ar-SA"/>
        </w:rPr>
        <w:t xml:space="preserve"> </w:t>
      </w:r>
      <w:r w:rsidRPr="00DD39D0">
        <w:rPr>
          <w:rFonts w:ascii="Times New Roman" w:eastAsia="Times New Roman" w:hAnsi="Times New Roman"/>
          <w:sz w:val="28"/>
          <w:szCs w:val="28"/>
          <w:lang w:val="ru-RU" w:eastAsia="ar-SA"/>
        </w:rPr>
        <w:t>здравоохранение</w:t>
      </w:r>
      <w:r w:rsidR="0026295B" w:rsidRPr="0026295B">
        <w:rPr>
          <w:rFonts w:ascii="Times New Roman" w:eastAsia="Times New Roman" w:hAnsi="Times New Roman"/>
          <w:sz w:val="28"/>
          <w:szCs w:val="28"/>
          <w:lang w:eastAsia="ar-SA"/>
        </w:rPr>
        <w:t xml:space="preserve"> (</w:t>
      </w:r>
      <w:r w:rsidR="0026295B">
        <w:rPr>
          <w:rFonts w:ascii="Times New Roman" w:eastAsia="Times New Roman" w:hAnsi="Times New Roman"/>
          <w:sz w:val="28"/>
          <w:szCs w:val="28"/>
          <w:lang w:val="ru-RU" w:eastAsia="ar-SA"/>
        </w:rPr>
        <w:t>Казахстан</w:t>
      </w:r>
      <w:r w:rsidR="0026295B" w:rsidRPr="0026295B">
        <w:rPr>
          <w:rFonts w:ascii="Times New Roman" w:eastAsia="Times New Roman" w:hAnsi="Times New Roman"/>
          <w:sz w:val="28"/>
          <w:szCs w:val="28"/>
          <w:lang w:eastAsia="ar-SA"/>
        </w:rPr>
        <w:t>)</w:t>
      </w:r>
      <w:r w:rsidRPr="00DD39D0">
        <w:rPr>
          <w:rFonts w:ascii="Times New Roman" w:eastAsia="Times New Roman" w:hAnsi="Times New Roman"/>
          <w:sz w:val="28"/>
          <w:szCs w:val="28"/>
          <w:lang w:eastAsia="ar-SA"/>
        </w:rPr>
        <w:t xml:space="preserve">. – 2014. – №6. – </w:t>
      </w:r>
      <w:r w:rsidRPr="00DD39D0">
        <w:rPr>
          <w:rFonts w:ascii="Times New Roman" w:eastAsia="Times New Roman" w:hAnsi="Times New Roman"/>
          <w:sz w:val="28"/>
          <w:szCs w:val="28"/>
          <w:lang w:val="ru-RU" w:eastAsia="ar-SA"/>
        </w:rPr>
        <w:t>С</w:t>
      </w:r>
      <w:r w:rsidRPr="00DD39D0">
        <w:rPr>
          <w:rFonts w:ascii="Times New Roman" w:eastAsia="Times New Roman" w:hAnsi="Times New Roman"/>
          <w:sz w:val="28"/>
          <w:szCs w:val="28"/>
          <w:lang w:eastAsia="ar-SA"/>
        </w:rPr>
        <w:t>.13-15</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 xml:space="preserve">Kryvenko L. S. The Pareto chart for caries intensity evaluation in children with allergic diseases / </w:t>
      </w:r>
      <w:r w:rsidR="00AD0387">
        <w:rPr>
          <w:rFonts w:ascii="Times New Roman" w:eastAsia="Times New Roman" w:hAnsi="Times New Roman"/>
          <w:sz w:val="28"/>
          <w:szCs w:val="28"/>
          <w:lang w:val="uk-UA" w:eastAsia="ar-SA"/>
        </w:rPr>
        <w:t>V.M.</w:t>
      </w:r>
      <w:r w:rsidR="00AD0387">
        <w:rPr>
          <w:rFonts w:ascii="Times New Roman" w:eastAsia="Times New Roman" w:hAnsi="Times New Roman"/>
          <w:sz w:val="28"/>
          <w:szCs w:val="28"/>
          <w:lang w:eastAsia="ar-SA"/>
        </w:rPr>
        <w:t xml:space="preserve"> </w:t>
      </w:r>
      <w:r w:rsidR="00AD0387">
        <w:rPr>
          <w:rFonts w:ascii="Times New Roman" w:eastAsia="Times New Roman" w:hAnsi="Times New Roman"/>
          <w:sz w:val="28"/>
          <w:szCs w:val="28"/>
          <w:lang w:val="uk-UA" w:eastAsia="ar-SA"/>
        </w:rPr>
        <w:t>Bezruk</w:t>
      </w:r>
      <w:r w:rsidR="00AD0387" w:rsidRPr="00974C00">
        <w:rPr>
          <w:rFonts w:ascii="Times New Roman" w:eastAsia="Times New Roman" w:hAnsi="Times New Roman"/>
          <w:sz w:val="28"/>
          <w:szCs w:val="28"/>
          <w:lang w:val="uk-UA" w:eastAsia="ar-SA"/>
        </w:rPr>
        <w:t>, S.S.</w:t>
      </w:r>
      <w:r w:rsidR="00AD0387">
        <w:rPr>
          <w:rFonts w:ascii="Times New Roman" w:eastAsia="Times New Roman" w:hAnsi="Times New Roman"/>
          <w:sz w:val="28"/>
          <w:szCs w:val="28"/>
          <w:lang w:eastAsia="ar-SA"/>
        </w:rPr>
        <w:t xml:space="preserve"> </w:t>
      </w:r>
      <w:r w:rsidR="00AD0387" w:rsidRPr="00974C00">
        <w:rPr>
          <w:rFonts w:ascii="Times New Roman" w:eastAsia="Times New Roman" w:hAnsi="Times New Roman"/>
          <w:sz w:val="28"/>
          <w:szCs w:val="28"/>
          <w:lang w:val="uk-UA" w:eastAsia="ar-SA"/>
        </w:rPr>
        <w:t>Kryvenko</w:t>
      </w:r>
      <w:r w:rsidR="00AD0387">
        <w:rPr>
          <w:rFonts w:ascii="Times New Roman" w:eastAsia="Times New Roman" w:hAnsi="Times New Roman"/>
          <w:sz w:val="28"/>
          <w:szCs w:val="28"/>
          <w:lang w:eastAsia="ar-SA"/>
        </w:rPr>
        <w:t xml:space="preserve">, </w:t>
      </w:r>
      <w:r w:rsidR="00AD0387" w:rsidRPr="00974C00">
        <w:rPr>
          <w:rFonts w:ascii="Times New Roman" w:eastAsia="Times New Roman" w:hAnsi="Times New Roman"/>
          <w:sz w:val="28"/>
          <w:szCs w:val="28"/>
          <w:lang w:val="uk-UA" w:eastAsia="ar-SA"/>
        </w:rPr>
        <w:t>L.S. Kryvenko // Second International Scientific-Practical Conference “Problems of Infocommunication. Science and Technology”: conference proceedings. – 2015. – P.110-112</w:t>
      </w:r>
    </w:p>
    <w:p w:rsidR="00191A76" w:rsidRPr="00DD39D0" w:rsidRDefault="00191A76" w:rsidP="00D61330">
      <w:pPr>
        <w:widowControl w:val="0"/>
        <w:numPr>
          <w:ilvl w:val="0"/>
          <w:numId w:val="4"/>
        </w:numPr>
        <w:suppressAutoHyphens/>
        <w:autoSpaceDE w:val="0"/>
        <w:spacing w:after="0" w:line="240" w:lineRule="auto"/>
        <w:jc w:val="both"/>
        <w:rPr>
          <w:rFonts w:ascii="Times New Roman" w:eastAsia="Times New Roman" w:hAnsi="Times New Roman"/>
          <w:i/>
          <w:sz w:val="28"/>
          <w:szCs w:val="28"/>
          <w:lang w:val="uk-UA" w:eastAsia="ar-SA"/>
        </w:rPr>
      </w:pP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Salivary</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oxidative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analysis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and</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periodontal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status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Ukrainian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children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with</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atopy</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R</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Nazaryan</w:t>
      </w:r>
      <w:r w:rsidR="00AD0387">
        <w:rPr>
          <w:rFonts w:ascii="Times New Roman" w:eastAsia="Times New Roman" w:hAnsi="Times New Roman"/>
          <w:sz w:val="28"/>
          <w:szCs w:val="28"/>
          <w:lang w:val="uk-UA" w:eastAsia="ar-SA"/>
        </w:rPr>
        <w:t xml:space="preserve">, </w:t>
      </w:r>
      <w:r w:rsidR="00AD0387" w:rsidRPr="00DD39D0">
        <w:rPr>
          <w:rFonts w:ascii="Times New Roman" w:eastAsia="Times New Roman" w:hAnsi="Times New Roman"/>
          <w:sz w:val="28"/>
          <w:szCs w:val="28"/>
          <w:lang w:eastAsia="ar-SA"/>
        </w:rPr>
        <w:t>L</w:t>
      </w:r>
      <w:r w:rsidR="00AD0387" w:rsidRPr="00DD39D0">
        <w:rPr>
          <w:rFonts w:ascii="Times New Roman" w:eastAsia="Times New Roman" w:hAnsi="Times New Roman"/>
          <w:sz w:val="28"/>
          <w:szCs w:val="28"/>
          <w:lang w:val="uk-UA" w:eastAsia="ar-SA"/>
        </w:rPr>
        <w:t xml:space="preserve">. </w:t>
      </w:r>
      <w:r w:rsidR="00AD0387" w:rsidRPr="00DD39D0">
        <w:rPr>
          <w:rFonts w:ascii="Times New Roman" w:eastAsia="Times New Roman" w:hAnsi="Times New Roman"/>
          <w:sz w:val="28"/>
          <w:szCs w:val="28"/>
          <w:lang w:eastAsia="ar-SA"/>
        </w:rPr>
        <w:t>S</w:t>
      </w:r>
      <w:r w:rsidR="00AD0387" w:rsidRPr="00DD39D0">
        <w:rPr>
          <w:rFonts w:ascii="Times New Roman" w:eastAsia="Times New Roman" w:hAnsi="Times New Roman"/>
          <w:sz w:val="28"/>
          <w:szCs w:val="28"/>
          <w:lang w:val="uk-UA" w:eastAsia="ar-SA"/>
        </w:rPr>
        <w:t xml:space="preserve">. </w:t>
      </w:r>
      <w:r w:rsidR="00AD0387"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Interventional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Medicine</w:t>
      </w:r>
      <w:r w:rsidRPr="00DD39D0">
        <w:rPr>
          <w:rFonts w:ascii="Times New Roman" w:eastAsia="Times New Roman" w:hAnsi="Times New Roman"/>
          <w:sz w:val="28"/>
          <w:szCs w:val="28"/>
          <w:lang w:val="uk-UA" w:eastAsia="ar-SA"/>
        </w:rPr>
        <w:t xml:space="preserve"> &amp; </w:t>
      </w:r>
      <w:r w:rsidRPr="00DD39D0">
        <w:rPr>
          <w:rFonts w:ascii="Times New Roman" w:eastAsia="Times New Roman" w:hAnsi="Times New Roman"/>
          <w:sz w:val="28"/>
          <w:szCs w:val="28"/>
          <w:lang w:eastAsia="ar-SA"/>
        </w:rPr>
        <w:t>Applied</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Science</w:t>
      </w:r>
      <w:r w:rsidRPr="00DD39D0">
        <w:rPr>
          <w:rFonts w:ascii="Times New Roman" w:eastAsia="Times New Roman" w:hAnsi="Times New Roman"/>
          <w:sz w:val="28"/>
          <w:szCs w:val="28"/>
          <w:lang w:val="uk-UA" w:eastAsia="ar-SA"/>
        </w:rPr>
        <w:t xml:space="preserve">. – 2017. – </w:t>
      </w:r>
      <w:r w:rsidRPr="00DD39D0">
        <w:rPr>
          <w:rFonts w:ascii="Times New Roman" w:eastAsia="Times New Roman" w:hAnsi="Times New Roman"/>
          <w:sz w:val="28"/>
          <w:szCs w:val="28"/>
          <w:lang w:eastAsia="ar-SA"/>
        </w:rPr>
        <w:t>Vol</w:t>
      </w:r>
      <w:r w:rsidR="00D61330">
        <w:rPr>
          <w:rFonts w:ascii="Times New Roman" w:eastAsia="Times New Roman" w:hAnsi="Times New Roman"/>
          <w:sz w:val="28"/>
          <w:szCs w:val="28"/>
          <w:lang w:val="uk-UA" w:eastAsia="ar-SA"/>
        </w:rPr>
        <w:t>. 9, №4</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P</w:t>
      </w:r>
      <w:r w:rsidRPr="00DD39D0">
        <w:rPr>
          <w:rFonts w:ascii="Times New Roman" w:eastAsia="Times New Roman" w:hAnsi="Times New Roman"/>
          <w:sz w:val="28"/>
          <w:szCs w:val="28"/>
          <w:lang w:val="uk-UA" w:eastAsia="ar-SA"/>
        </w:rPr>
        <w:t>. 1</w:t>
      </w:r>
      <w:r w:rsidRPr="00D61330">
        <w:rPr>
          <w:rFonts w:ascii="Times New Roman" w:eastAsia="Times New Roman" w:hAnsi="Times New Roman"/>
          <w:sz w:val="28"/>
          <w:szCs w:val="28"/>
          <w:lang w:val="uk-UA" w:eastAsia="ar-SA"/>
        </w:rPr>
        <w:t>99-203</w:t>
      </w:r>
      <w:r w:rsidRPr="00DD39D0">
        <w:rPr>
          <w:rFonts w:ascii="Times New Roman" w:eastAsia="Times New Roman" w:hAnsi="Times New Roman"/>
          <w:sz w:val="28"/>
          <w:szCs w:val="28"/>
          <w:lang w:val="uk-UA" w:eastAsia="ar-SA"/>
        </w:rPr>
        <w:t xml:space="preserve">. </w:t>
      </w:r>
      <w:r w:rsidR="00D61330" w:rsidRPr="00D61330">
        <w:rPr>
          <w:rFonts w:ascii="Times New Roman" w:eastAsia="Times New Roman" w:hAnsi="Times New Roman"/>
          <w:sz w:val="28"/>
          <w:szCs w:val="28"/>
          <w:lang w:val="uk-UA" w:eastAsia="ar-SA"/>
        </w:rPr>
        <w:t xml:space="preserve">https://doi.org/10.1556/1646.9.2017.32 </w:t>
      </w:r>
      <w:r w:rsidRPr="00DD39D0">
        <w:rPr>
          <w:rFonts w:ascii="Times New Roman" w:eastAsia="Times New Roman" w:hAnsi="Times New Roman"/>
          <w:i/>
          <w:sz w:val="28"/>
          <w:szCs w:val="28"/>
          <w:lang w:val="uk-UA" w:eastAsia="ar-SA"/>
        </w:rPr>
        <w:t>(Дисертантом проведено клінічне стоматологічне обстеження, отримано матеріал для біохімічних досліджень, проведено статистичний аналіз)</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w:t>
      </w:r>
      <w:r w:rsidRPr="00DD39D0">
        <w:rPr>
          <w:rFonts w:ascii="Times New Roman" w:eastAsia="Times New Roman" w:hAnsi="Times New Roman"/>
          <w:sz w:val="28"/>
          <w:szCs w:val="28"/>
          <w:lang w:val="ru-RU" w:eastAsia="ar-SA"/>
        </w:rPr>
        <w:t>Характеристика антиоксидантної системи дітей з гінгівітом на тлі атопічних захворювань / Л.</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С. Кривенко // Вісник проблем біології і медицини. - №1 (135). -2017. – с.</w:t>
      </w:r>
      <w:r w:rsidRPr="00DD39D0">
        <w:rPr>
          <w:rFonts w:ascii="Times New Roman" w:eastAsia="Times New Roman" w:hAnsi="Times New Roman"/>
          <w:sz w:val="28"/>
          <w:szCs w:val="28"/>
          <w:lang w:val="uk-UA" w:eastAsia="ar-SA"/>
        </w:rPr>
        <w:t xml:space="preserve"> 326-327.</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Пат. 115848 Україна, МПК G01N 33/48 (2006.01). Спосіб прогнозування рівня секреторного імуноглобуліну А в слині дітей, хворих на бронхіальну астму / Кривенко Л.С. (</w:t>
      </w:r>
      <w:r w:rsidRPr="00DD39D0">
        <w:rPr>
          <w:rFonts w:ascii="Times New Roman" w:eastAsia="Times New Roman" w:hAnsi="Times New Roman"/>
          <w:sz w:val="28"/>
          <w:szCs w:val="28"/>
          <w:lang w:eastAsia="ar-SA"/>
        </w:rPr>
        <w:t>UA</w:t>
      </w:r>
      <w:r w:rsidRPr="00DD39D0">
        <w:rPr>
          <w:rFonts w:ascii="Times New Roman" w:eastAsia="Times New Roman" w:hAnsi="Times New Roman"/>
          <w:sz w:val="28"/>
          <w:szCs w:val="28"/>
          <w:lang w:val="uk-UA" w:eastAsia="ar-SA"/>
        </w:rPr>
        <w:t>), Назарян Р.С. (</w:t>
      </w:r>
      <w:r w:rsidRPr="00DD39D0">
        <w:rPr>
          <w:rFonts w:ascii="Times New Roman" w:eastAsia="Times New Roman" w:hAnsi="Times New Roman"/>
          <w:sz w:val="28"/>
          <w:szCs w:val="28"/>
          <w:lang w:eastAsia="ar-SA"/>
        </w:rPr>
        <w:t>UA</w:t>
      </w:r>
      <w:r w:rsidRPr="00DD39D0">
        <w:rPr>
          <w:rFonts w:ascii="Times New Roman" w:eastAsia="Times New Roman" w:hAnsi="Times New Roman"/>
          <w:sz w:val="28"/>
          <w:szCs w:val="28"/>
          <w:lang w:val="uk-UA" w:eastAsia="ar-SA"/>
        </w:rPr>
        <w:t>) // Харківський національний медичний університет (</w:t>
      </w:r>
      <w:r w:rsidRPr="00DD39D0">
        <w:rPr>
          <w:rFonts w:ascii="Times New Roman" w:eastAsia="Times New Roman" w:hAnsi="Times New Roman"/>
          <w:sz w:val="28"/>
          <w:szCs w:val="28"/>
          <w:lang w:eastAsia="ar-SA"/>
        </w:rPr>
        <w:t>UA</w:t>
      </w:r>
      <w:r w:rsidRPr="00DD39D0">
        <w:rPr>
          <w:rFonts w:ascii="Times New Roman" w:eastAsia="Times New Roman" w:hAnsi="Times New Roman"/>
          <w:sz w:val="28"/>
          <w:szCs w:val="28"/>
          <w:lang w:val="uk-UA" w:eastAsia="ar-SA"/>
        </w:rPr>
        <w:t>). – Заявка a201700397; Заявлено 16.01.2017; Опубл. 26.12.2017, бюл. № 24. (</w:t>
      </w:r>
      <w:r w:rsidRPr="00DD39D0">
        <w:rPr>
          <w:rFonts w:ascii="Times New Roman" w:eastAsia="Times New Roman" w:hAnsi="Times New Roman"/>
          <w:i/>
          <w:sz w:val="28"/>
          <w:szCs w:val="28"/>
          <w:lang w:val="uk-UA" w:eastAsia="ar-SA"/>
        </w:rPr>
        <w:t>Здобувачем зібрано первинний матеріал, визначені діагностична цінність та прогностичні значення рівня секреторного імуноглобуліну А, написана формула винаходу та приклади клінічного застосування</w:t>
      </w:r>
      <w:r w:rsidRPr="00DD39D0">
        <w:rPr>
          <w:rFonts w:ascii="Times New Roman" w:eastAsia="Times New Roman" w:hAnsi="Times New Roman"/>
          <w:sz w:val="28"/>
          <w:szCs w:val="28"/>
          <w:lang w:val="uk-UA" w:eastAsia="ar-SA"/>
        </w:rPr>
        <w:t>)</w:t>
      </w:r>
    </w:p>
    <w:p w:rsidR="00191A76" w:rsidRPr="00DD39D0" w:rsidRDefault="00191A76" w:rsidP="0094668F">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lastRenderedPageBreak/>
        <w:t>Пат.</w:t>
      </w:r>
      <w:r w:rsidR="0094668F">
        <w:rPr>
          <w:rFonts w:ascii="Times New Roman" w:eastAsia="Times New Roman" w:hAnsi="Times New Roman"/>
          <w:sz w:val="28"/>
          <w:szCs w:val="28"/>
          <w:lang w:val="uk-UA" w:eastAsia="ar-SA"/>
        </w:rPr>
        <w:t xml:space="preserve"> </w:t>
      </w:r>
      <w:r w:rsidR="0094668F" w:rsidRPr="0094668F">
        <w:rPr>
          <w:rFonts w:ascii="Times New Roman" w:eastAsia="Times New Roman" w:hAnsi="Times New Roman"/>
          <w:sz w:val="28"/>
          <w:szCs w:val="28"/>
          <w:lang w:val="uk-UA" w:eastAsia="ar-SA"/>
        </w:rPr>
        <w:t xml:space="preserve">116178 </w:t>
      </w:r>
      <w:r w:rsidRPr="00DD39D0">
        <w:rPr>
          <w:rFonts w:ascii="Times New Roman" w:eastAsia="Times New Roman" w:hAnsi="Times New Roman"/>
          <w:sz w:val="28"/>
          <w:szCs w:val="28"/>
          <w:lang w:val="uk-UA" w:eastAsia="ar-SA"/>
        </w:rPr>
        <w:t xml:space="preserve">Україна, </w:t>
      </w:r>
      <w:r w:rsidR="00303B9E">
        <w:rPr>
          <w:rFonts w:ascii="Times New Roman" w:eastAsia="Times New Roman" w:hAnsi="Times New Roman"/>
          <w:sz w:val="28"/>
          <w:szCs w:val="28"/>
          <w:lang w:val="uk-UA" w:eastAsia="ar-SA"/>
        </w:rPr>
        <w:t xml:space="preserve">МПК </w:t>
      </w:r>
      <w:r w:rsidRPr="00DD39D0">
        <w:rPr>
          <w:rFonts w:ascii="Times New Roman" w:eastAsia="Times New Roman" w:hAnsi="Times New Roman"/>
          <w:sz w:val="28"/>
          <w:szCs w:val="28"/>
          <w:lang w:val="uk-UA" w:eastAsia="ar-SA"/>
        </w:rPr>
        <w:t>G01N 33/48 (2006.01) Спосіб оцінки активності патологічного процесу порожнини рота при атопічній патології / Кривенко Л.С. (</w:t>
      </w:r>
      <w:r w:rsidRPr="00DD39D0">
        <w:rPr>
          <w:rFonts w:ascii="Times New Roman" w:eastAsia="Times New Roman" w:hAnsi="Times New Roman"/>
          <w:sz w:val="28"/>
          <w:szCs w:val="28"/>
          <w:lang w:eastAsia="ar-SA"/>
        </w:rPr>
        <w:t>UA</w:t>
      </w:r>
      <w:r w:rsidRPr="00DD39D0">
        <w:rPr>
          <w:rFonts w:ascii="Times New Roman" w:eastAsia="Times New Roman" w:hAnsi="Times New Roman"/>
          <w:sz w:val="28"/>
          <w:szCs w:val="28"/>
          <w:lang w:val="uk-UA" w:eastAsia="ar-SA"/>
        </w:rPr>
        <w:t>), Назарян Р.С. (</w:t>
      </w:r>
      <w:r w:rsidRPr="00DD39D0">
        <w:rPr>
          <w:rFonts w:ascii="Times New Roman" w:eastAsia="Times New Roman" w:hAnsi="Times New Roman"/>
          <w:sz w:val="28"/>
          <w:szCs w:val="28"/>
          <w:lang w:eastAsia="ar-SA"/>
        </w:rPr>
        <w:t>UA</w:t>
      </w:r>
      <w:r w:rsidRPr="00DD39D0">
        <w:rPr>
          <w:rFonts w:ascii="Times New Roman" w:eastAsia="Times New Roman" w:hAnsi="Times New Roman"/>
          <w:sz w:val="28"/>
          <w:szCs w:val="28"/>
          <w:lang w:val="uk-UA" w:eastAsia="ar-SA"/>
        </w:rPr>
        <w:t>)</w:t>
      </w:r>
      <w:r w:rsidR="0094668F">
        <w:rPr>
          <w:rFonts w:ascii="Times New Roman" w:eastAsia="Times New Roman" w:hAnsi="Times New Roman"/>
          <w:sz w:val="28"/>
          <w:szCs w:val="28"/>
          <w:lang w:val="uk-UA" w:eastAsia="ar-SA"/>
        </w:rPr>
        <w:t xml:space="preserve">, Гаргін В.В. </w:t>
      </w:r>
      <w:r w:rsidR="0094668F" w:rsidRPr="00DD39D0">
        <w:rPr>
          <w:rFonts w:ascii="Times New Roman" w:eastAsia="Times New Roman" w:hAnsi="Times New Roman"/>
          <w:sz w:val="28"/>
          <w:szCs w:val="28"/>
          <w:lang w:val="uk-UA" w:eastAsia="ar-SA"/>
        </w:rPr>
        <w:t>(</w:t>
      </w:r>
      <w:r w:rsidR="0094668F" w:rsidRPr="00DD39D0">
        <w:rPr>
          <w:rFonts w:ascii="Times New Roman" w:eastAsia="Times New Roman" w:hAnsi="Times New Roman"/>
          <w:sz w:val="28"/>
          <w:szCs w:val="28"/>
          <w:lang w:eastAsia="ar-SA"/>
        </w:rPr>
        <w:t>UA</w:t>
      </w:r>
      <w:r w:rsidR="0094668F" w:rsidRPr="00DD39D0">
        <w:rPr>
          <w:rFonts w:ascii="Times New Roman" w:eastAsia="Times New Roman" w:hAnsi="Times New Roman"/>
          <w:sz w:val="28"/>
          <w:szCs w:val="28"/>
          <w:lang w:val="uk-UA" w:eastAsia="ar-SA"/>
        </w:rPr>
        <w:t>)</w:t>
      </w:r>
      <w:r w:rsidRPr="00DD39D0">
        <w:rPr>
          <w:rFonts w:ascii="Times New Roman" w:eastAsia="Times New Roman" w:hAnsi="Times New Roman"/>
          <w:sz w:val="28"/>
          <w:szCs w:val="28"/>
          <w:lang w:val="uk-UA" w:eastAsia="ar-SA"/>
        </w:rPr>
        <w:t xml:space="preserve"> // Харківський національний медичний університет (</w:t>
      </w:r>
      <w:r w:rsidRPr="00DD39D0">
        <w:rPr>
          <w:rFonts w:ascii="Times New Roman" w:eastAsia="Times New Roman" w:hAnsi="Times New Roman"/>
          <w:sz w:val="28"/>
          <w:szCs w:val="28"/>
          <w:lang w:eastAsia="ar-SA"/>
        </w:rPr>
        <w:t>UA</w:t>
      </w:r>
      <w:r w:rsidRPr="00DD39D0">
        <w:rPr>
          <w:rFonts w:ascii="Times New Roman" w:eastAsia="Times New Roman" w:hAnsi="Times New Roman"/>
          <w:sz w:val="28"/>
          <w:szCs w:val="28"/>
          <w:lang w:val="uk-UA" w:eastAsia="ar-SA"/>
        </w:rPr>
        <w:t xml:space="preserve">). – Заявка </w:t>
      </w:r>
      <w:r w:rsidR="0094668F">
        <w:rPr>
          <w:rFonts w:ascii="Times New Roman" w:eastAsia="Times New Roman" w:hAnsi="Times New Roman"/>
          <w:sz w:val="28"/>
          <w:szCs w:val="28"/>
          <w:lang w:val="uk-UA" w:eastAsia="ar-SA"/>
        </w:rPr>
        <w:t>а201700396; Заявлено 16.01.2017;</w:t>
      </w:r>
      <w:r w:rsidRPr="00DD39D0">
        <w:rPr>
          <w:rFonts w:ascii="Times New Roman" w:eastAsia="Times New Roman" w:hAnsi="Times New Roman"/>
          <w:sz w:val="28"/>
          <w:szCs w:val="28"/>
          <w:lang w:val="uk-UA" w:eastAsia="ar-SA"/>
        </w:rPr>
        <w:t xml:space="preserve"> </w:t>
      </w:r>
      <w:r w:rsidR="0094668F">
        <w:rPr>
          <w:rFonts w:ascii="Times New Roman" w:eastAsia="Times New Roman" w:hAnsi="Times New Roman"/>
          <w:sz w:val="28"/>
          <w:szCs w:val="28"/>
          <w:lang w:val="uk-UA" w:eastAsia="ar-SA"/>
        </w:rPr>
        <w:t xml:space="preserve">Опубл. </w:t>
      </w:r>
      <w:r w:rsidR="0094668F" w:rsidRPr="0094668F">
        <w:rPr>
          <w:rFonts w:ascii="Times New Roman" w:eastAsia="Times New Roman" w:hAnsi="Times New Roman"/>
          <w:sz w:val="28"/>
          <w:szCs w:val="28"/>
          <w:lang w:val="uk-UA" w:eastAsia="ar-SA"/>
        </w:rPr>
        <w:t>12.02.2018, бюл. № 3</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i/>
          <w:sz w:val="28"/>
          <w:szCs w:val="28"/>
          <w:lang w:val="uk-UA" w:eastAsia="ar-SA"/>
        </w:rPr>
        <w:t>Здобувачем запропонований протокол експериментального моделювання атопії, зібраний первинний матеріал, оброблені результати, написана формула винаходу та підготовлено текст заявки</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Пат. 117456 Україна, МПК G01N 33/00 (2006.01). Спосіб прогнозування рівня секреторного імуноглобуліну А в слині дітей, хворих на бронхіальну астму / Кривенко Л.С. (</w:t>
      </w:r>
      <w:r w:rsidRPr="00DD39D0">
        <w:rPr>
          <w:rFonts w:ascii="Times New Roman" w:eastAsia="Times New Roman" w:hAnsi="Times New Roman"/>
          <w:sz w:val="28"/>
          <w:szCs w:val="28"/>
          <w:lang w:eastAsia="ar-SA"/>
        </w:rPr>
        <w:t>UA</w:t>
      </w:r>
      <w:r w:rsidRPr="00DD39D0">
        <w:rPr>
          <w:rFonts w:ascii="Times New Roman" w:eastAsia="Times New Roman" w:hAnsi="Times New Roman"/>
          <w:sz w:val="28"/>
          <w:szCs w:val="28"/>
          <w:lang w:val="uk-UA" w:eastAsia="ar-SA"/>
        </w:rPr>
        <w:t>), Назарян Р.С. (</w:t>
      </w:r>
      <w:r w:rsidRPr="00DD39D0">
        <w:rPr>
          <w:rFonts w:ascii="Times New Roman" w:eastAsia="Times New Roman" w:hAnsi="Times New Roman"/>
          <w:sz w:val="28"/>
          <w:szCs w:val="28"/>
          <w:lang w:eastAsia="ar-SA"/>
        </w:rPr>
        <w:t>UA</w:t>
      </w:r>
      <w:r w:rsidRPr="00DD39D0">
        <w:rPr>
          <w:rFonts w:ascii="Times New Roman" w:eastAsia="Times New Roman" w:hAnsi="Times New Roman"/>
          <w:sz w:val="28"/>
          <w:szCs w:val="28"/>
          <w:lang w:val="uk-UA" w:eastAsia="ar-SA"/>
        </w:rPr>
        <w:t>) // Харківський національний медичний університет (</w:t>
      </w:r>
      <w:r w:rsidRPr="00DD39D0">
        <w:rPr>
          <w:rFonts w:ascii="Times New Roman" w:eastAsia="Times New Roman" w:hAnsi="Times New Roman"/>
          <w:sz w:val="28"/>
          <w:szCs w:val="28"/>
          <w:lang w:eastAsia="ar-SA"/>
        </w:rPr>
        <w:t>UA</w:t>
      </w:r>
      <w:r w:rsidRPr="00DD39D0">
        <w:rPr>
          <w:rFonts w:ascii="Times New Roman" w:eastAsia="Times New Roman" w:hAnsi="Times New Roman"/>
          <w:sz w:val="28"/>
          <w:szCs w:val="28"/>
          <w:lang w:val="uk-UA" w:eastAsia="ar-SA"/>
        </w:rPr>
        <w:t>). – Заявка u201700594; Заявлено 23.01.2017; Опубл. 26.06.2017, бюл. №12. (</w:t>
      </w:r>
      <w:r w:rsidRPr="00DD39D0">
        <w:rPr>
          <w:rFonts w:ascii="Times New Roman" w:eastAsia="Times New Roman" w:hAnsi="Times New Roman"/>
          <w:i/>
          <w:sz w:val="28"/>
          <w:szCs w:val="28"/>
          <w:lang w:val="uk-UA" w:eastAsia="ar-SA"/>
        </w:rPr>
        <w:t>Здобувачем зібрано первинний матеріал, визначені діагностична цінність та прогностичні значення рівня секреторного імуноглобуліну А, написана формула корисної моделі та приклади клінічного застосування, підготовлено текст заявки</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Аналіз пародонтологічного статусу дітей, хворих на алергію / Л. С. Кривенко // Нове та традиційне у дослідженнях сучасних представників медичної науки: матеріали науково-практичної конференції, Львів, 27-28 лютого 2015 р. – Львів, 2015. – С.37-38.</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Анатомические особенности полости рта детей, рожденных преждевременно / Л. С. Кривенко // Новые технологии в стоматологии: материа</w:t>
      </w:r>
      <w:r w:rsidRPr="00DD39D0">
        <w:rPr>
          <w:rFonts w:ascii="Times New Roman" w:eastAsia="Times New Roman" w:hAnsi="Times New Roman"/>
          <w:sz w:val="28"/>
          <w:szCs w:val="28"/>
          <w:lang w:val="ru-RU" w:eastAsia="ar-SA"/>
        </w:rPr>
        <w:t xml:space="preserve">лы </w:t>
      </w:r>
      <w:r w:rsidRPr="00DD39D0">
        <w:rPr>
          <w:rFonts w:ascii="Times New Roman" w:eastAsia="Times New Roman" w:hAnsi="Times New Roman"/>
          <w:sz w:val="28"/>
          <w:szCs w:val="28"/>
          <w:lang w:val="uk-UA" w:eastAsia="ar-SA"/>
        </w:rPr>
        <w:t xml:space="preserve">международной конференций челюстно-лицевых хирургов и стоматологов, </w:t>
      </w:r>
      <w:r w:rsidR="0026295B" w:rsidRPr="00DD39D0">
        <w:rPr>
          <w:rFonts w:ascii="Times New Roman" w:eastAsia="Times New Roman" w:hAnsi="Times New Roman"/>
          <w:sz w:val="28"/>
          <w:szCs w:val="28"/>
          <w:lang w:val="uk-UA" w:eastAsia="ar-SA"/>
        </w:rPr>
        <w:t>Санкт-Петербург</w:t>
      </w:r>
      <w:r w:rsidR="0026295B">
        <w:rPr>
          <w:rFonts w:ascii="Times New Roman" w:eastAsia="Times New Roman" w:hAnsi="Times New Roman"/>
          <w:sz w:val="28"/>
          <w:szCs w:val="28"/>
          <w:lang w:val="uk-UA" w:eastAsia="ar-SA"/>
        </w:rPr>
        <w:t>,</w:t>
      </w:r>
      <w:r w:rsidR="0026295B" w:rsidRPr="00DD39D0">
        <w:rPr>
          <w:rFonts w:ascii="Times New Roman" w:eastAsia="Times New Roman" w:hAnsi="Times New Roman"/>
          <w:sz w:val="28"/>
          <w:szCs w:val="28"/>
          <w:lang w:val="uk-UA" w:eastAsia="ar-SA"/>
        </w:rPr>
        <w:t xml:space="preserve"> </w:t>
      </w:r>
      <w:r w:rsidR="0026295B">
        <w:rPr>
          <w:rFonts w:ascii="Times New Roman" w:eastAsia="Times New Roman" w:hAnsi="Times New Roman"/>
          <w:sz w:val="28"/>
          <w:szCs w:val="28"/>
          <w:lang w:val="uk-UA" w:eastAsia="ar-SA"/>
        </w:rPr>
        <w:t>3-5 июня 2015</w:t>
      </w:r>
      <w:r w:rsidRPr="00DD39D0">
        <w:rPr>
          <w:rFonts w:ascii="Times New Roman" w:eastAsia="Times New Roman" w:hAnsi="Times New Roman"/>
          <w:sz w:val="28"/>
          <w:szCs w:val="28"/>
          <w:lang w:val="uk-UA" w:eastAsia="ar-SA"/>
        </w:rPr>
        <w:t>.</w:t>
      </w:r>
      <w:r w:rsidR="0076154B">
        <w:rPr>
          <w:rFonts w:ascii="Times New Roman" w:eastAsia="Times New Roman" w:hAnsi="Times New Roman"/>
          <w:sz w:val="28"/>
          <w:szCs w:val="28"/>
          <w:lang w:val="uk-UA" w:eastAsia="ar-SA"/>
        </w:rPr>
        <w:t xml:space="preserve"> – Санкт-Петербург, 2015. – С. 73</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Нуждаемость в ортодонтическом лечении детей, рожденных преждевременно / Л. С. Кривенко // Медицина третього тисячоліття: матеріали міжвузівської конференції молодих вчених та студентів, Харків, 19-21 січня 2015.</w:t>
      </w:r>
      <w:r w:rsidRPr="00DD39D0">
        <w:rPr>
          <w:rFonts w:ascii="Times New Roman" w:eastAsia="Times New Roman" w:hAnsi="Times New Roman"/>
          <w:sz w:val="28"/>
          <w:szCs w:val="28"/>
          <w:lang w:val="ru-RU" w:eastAsia="ar-SA"/>
        </w:rPr>
        <w:t xml:space="preserve"> – </w:t>
      </w:r>
      <w:r w:rsidRPr="00DD39D0">
        <w:rPr>
          <w:rFonts w:ascii="Times New Roman" w:eastAsia="Times New Roman" w:hAnsi="Times New Roman"/>
          <w:sz w:val="28"/>
          <w:szCs w:val="28"/>
          <w:lang w:val="uk-UA" w:eastAsia="ar-SA"/>
        </w:rPr>
        <w:t>Харків, 2015. - С. 452-453.</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w:t>
      </w:r>
      <w:r w:rsidRPr="00DD39D0">
        <w:rPr>
          <w:rFonts w:ascii="Times New Roman" w:eastAsia="Times New Roman" w:hAnsi="Times New Roman"/>
          <w:sz w:val="28"/>
          <w:szCs w:val="28"/>
          <w:lang w:val="ru-RU" w:eastAsia="ar-SA"/>
        </w:rPr>
        <w:t xml:space="preserve">Нуждаемость в ортодонтическом лечении детей с аллергическими заболеваниями в анамнезе / Л. </w:t>
      </w:r>
      <w:r w:rsidRPr="00DD39D0">
        <w:rPr>
          <w:rFonts w:ascii="Times New Roman" w:eastAsia="Times New Roman" w:hAnsi="Times New Roman"/>
          <w:sz w:val="28"/>
          <w:szCs w:val="28"/>
          <w:lang w:val="uk-UA" w:eastAsia="ar-SA"/>
        </w:rPr>
        <w:t xml:space="preserve">С. Кривенко // </w:t>
      </w:r>
      <w:r w:rsidRPr="00DD39D0">
        <w:rPr>
          <w:rFonts w:ascii="Times New Roman" w:eastAsia="Times New Roman" w:hAnsi="Times New Roman"/>
          <w:sz w:val="28"/>
          <w:szCs w:val="28"/>
          <w:lang w:val="ru-RU" w:eastAsia="ar-SA"/>
        </w:rPr>
        <w:t xml:space="preserve">Новини та перспективи медичної науки: </w:t>
      </w:r>
      <w:r w:rsidRPr="00DD39D0">
        <w:rPr>
          <w:rFonts w:ascii="Times New Roman" w:eastAsia="Times New Roman" w:hAnsi="Times New Roman"/>
          <w:sz w:val="28"/>
          <w:szCs w:val="28"/>
          <w:lang w:val="uk-UA" w:eastAsia="ar-SA"/>
        </w:rPr>
        <w:t xml:space="preserve">матеріали </w:t>
      </w:r>
      <w:r w:rsidRPr="00DD39D0">
        <w:rPr>
          <w:rFonts w:ascii="Times New Roman" w:eastAsia="Times New Roman" w:hAnsi="Times New Roman"/>
          <w:sz w:val="28"/>
          <w:szCs w:val="28"/>
          <w:lang w:val="ru-RU" w:eastAsia="ar-SA"/>
        </w:rPr>
        <w:t xml:space="preserve">наукової медичної конференції студентів та молодих вчених, </w:t>
      </w:r>
      <w:r w:rsidR="0026295B" w:rsidRPr="00DD39D0">
        <w:rPr>
          <w:rFonts w:ascii="Times New Roman" w:eastAsia="Times New Roman" w:hAnsi="Times New Roman"/>
          <w:sz w:val="28"/>
          <w:szCs w:val="28"/>
          <w:lang w:val="ru-RU" w:eastAsia="ar-SA"/>
        </w:rPr>
        <w:t>Дніпропетровськ</w:t>
      </w:r>
      <w:r w:rsidR="0026295B">
        <w:rPr>
          <w:rFonts w:ascii="Times New Roman" w:eastAsia="Times New Roman" w:hAnsi="Times New Roman"/>
          <w:sz w:val="28"/>
          <w:szCs w:val="28"/>
          <w:lang w:val="ru-RU" w:eastAsia="ar-SA"/>
        </w:rPr>
        <w:t>,</w:t>
      </w:r>
      <w:r w:rsidR="0026295B" w:rsidRPr="00DD39D0">
        <w:rPr>
          <w:rFonts w:ascii="Times New Roman" w:eastAsia="Times New Roman" w:hAnsi="Times New Roman"/>
          <w:sz w:val="28"/>
          <w:szCs w:val="28"/>
          <w:lang w:val="ru-RU" w:eastAsia="ar-SA"/>
        </w:rPr>
        <w:t xml:space="preserve"> </w:t>
      </w:r>
      <w:r w:rsidRPr="00DD39D0">
        <w:rPr>
          <w:rFonts w:ascii="Times New Roman" w:eastAsia="Times New Roman" w:hAnsi="Times New Roman"/>
          <w:sz w:val="28"/>
          <w:szCs w:val="28"/>
          <w:lang w:val="ru-RU" w:eastAsia="ar-SA"/>
        </w:rPr>
        <w:t>14-15 квітня</w:t>
      </w:r>
      <w:r w:rsidRPr="00DD39D0">
        <w:rPr>
          <w:rFonts w:ascii="Times New Roman" w:eastAsia="Times New Roman" w:hAnsi="Times New Roman"/>
          <w:sz w:val="28"/>
          <w:szCs w:val="28"/>
          <w:lang w:val="uk-UA" w:eastAsia="ar-SA"/>
        </w:rPr>
        <w:t xml:space="preserve"> 2015</w:t>
      </w:r>
      <w:r w:rsidRPr="00DD39D0">
        <w:rPr>
          <w:rFonts w:ascii="Times New Roman" w:eastAsia="Times New Roman" w:hAnsi="Times New Roman"/>
          <w:sz w:val="28"/>
          <w:szCs w:val="28"/>
          <w:lang w:val="ru-RU" w:eastAsia="ar-SA"/>
        </w:rPr>
        <w:t>.</w:t>
      </w:r>
      <w:r w:rsidRPr="00DD39D0">
        <w:rPr>
          <w:rFonts w:ascii="Times New Roman" w:eastAsia="Times New Roman" w:hAnsi="Times New Roman"/>
          <w:sz w:val="28"/>
          <w:szCs w:val="28"/>
          <w:lang w:val="uk-UA" w:eastAsia="ar-SA"/>
        </w:rPr>
        <w:t xml:space="preserve"> – Дніпропетровськ, 2015. -</w:t>
      </w:r>
      <w:r w:rsidRPr="00DD39D0">
        <w:rPr>
          <w:rFonts w:ascii="Times New Roman" w:eastAsia="Times New Roman" w:hAnsi="Times New Roman"/>
          <w:sz w:val="28"/>
          <w:szCs w:val="28"/>
          <w:lang w:val="ru-RU" w:eastAsia="ar-SA"/>
        </w:rPr>
        <w:t xml:space="preserve"> С.90</w:t>
      </w:r>
      <w:r w:rsidR="0076154B">
        <w:rPr>
          <w:rFonts w:ascii="Times New Roman" w:eastAsia="Times New Roman" w:hAnsi="Times New Roman"/>
          <w:sz w:val="28"/>
          <w:szCs w:val="28"/>
          <w:lang w:val="ru-RU" w:eastAsia="ar-SA"/>
        </w:rPr>
        <w:t>-91</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Рівень інтенсивності карієсу зубів дітей 12-15 років, хворих на алергічні захворювання / Л. С. Кривенко // Здобутки теоретичної медицини – в практику охорони здоров'я – 2015: матеріали Всеукраїнської науково-практична конференції молодих вчених і студентів з міжнародною участю, Запоріжжя, 26-27 березня. – Запоріжжя, 2015. – С. 57.</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w:t>
      </w:r>
      <w:r w:rsidRPr="00DD39D0">
        <w:rPr>
          <w:rFonts w:ascii="Times New Roman" w:eastAsia="Times New Roman" w:hAnsi="Times New Roman"/>
          <w:sz w:val="28"/>
          <w:szCs w:val="28"/>
          <w:lang w:eastAsia="ar-SA"/>
        </w:rPr>
        <w:t>Pathological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changes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of</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oral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mucosa</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and</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lips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children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with</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lastRenderedPageBreak/>
        <w:t>allergic</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pathology</w:t>
      </w:r>
      <w:r w:rsidRPr="00DD39D0">
        <w:rPr>
          <w:rFonts w:ascii="Times New Roman" w:eastAsia="Times New Roman" w:hAnsi="Times New Roman"/>
          <w:sz w:val="28"/>
          <w:szCs w:val="28"/>
          <w:lang w:val="uk-UA" w:eastAsia="ar-SA"/>
        </w:rPr>
        <w:t xml:space="preserve"> / Л. С. Кривенко, Н. А. Олейник // Актуальні проблеми клінічної та фундаментальної медицини </w:t>
      </w:r>
      <w:r w:rsidRPr="00DD39D0">
        <w:rPr>
          <w:rFonts w:ascii="Times New Roman" w:eastAsia="Times New Roman" w:hAnsi="Times New Roman"/>
          <w:sz w:val="28"/>
          <w:szCs w:val="28"/>
          <w:lang w:val="ru-RU" w:eastAsia="ar-SA"/>
        </w:rPr>
        <w:t>ISIC</w:t>
      </w:r>
      <w:r w:rsidRPr="00DD39D0">
        <w:rPr>
          <w:rFonts w:ascii="Times New Roman" w:eastAsia="Times New Roman" w:hAnsi="Times New Roman"/>
          <w:sz w:val="28"/>
          <w:szCs w:val="28"/>
          <w:lang w:val="uk-UA" w:eastAsia="ar-SA"/>
        </w:rPr>
        <w:t xml:space="preserve">: матеріали </w:t>
      </w:r>
      <w:r w:rsidRPr="00DD39D0">
        <w:rPr>
          <w:rFonts w:ascii="Times New Roman" w:eastAsia="Times New Roman" w:hAnsi="Times New Roman"/>
          <w:sz w:val="28"/>
          <w:szCs w:val="28"/>
          <w:lang w:eastAsia="ar-SA"/>
        </w:rPr>
        <w:t>V</w:t>
      </w:r>
      <w:r w:rsidRPr="00DD39D0">
        <w:rPr>
          <w:rFonts w:ascii="Times New Roman" w:eastAsia="Times New Roman" w:hAnsi="Times New Roman"/>
          <w:sz w:val="28"/>
          <w:szCs w:val="28"/>
          <w:lang w:val="uk-UA" w:eastAsia="ar-SA"/>
        </w:rPr>
        <w:t>ІІ</w:t>
      </w:r>
      <w:r w:rsidRPr="00DD39D0">
        <w:rPr>
          <w:rFonts w:ascii="Times New Roman" w:eastAsia="Times New Roman" w:hAnsi="Times New Roman"/>
          <w:sz w:val="28"/>
          <w:szCs w:val="28"/>
          <w:lang w:eastAsia="ar-SA"/>
        </w:rPr>
        <w:t>I</w:t>
      </w:r>
      <w:r w:rsidRPr="00DD39D0">
        <w:rPr>
          <w:rFonts w:ascii="Times New Roman" w:eastAsia="Times New Roman" w:hAnsi="Times New Roman"/>
          <w:sz w:val="28"/>
          <w:szCs w:val="28"/>
          <w:lang w:val="uk-UA" w:eastAsia="ar-SA"/>
        </w:rPr>
        <w:t xml:space="preserve"> науково-практичної конференції з міжнародною участю, Харків, 14-15 травня 2015. – Харків, 2015. – С. 267. (</w:t>
      </w:r>
      <w:r w:rsidRPr="00DD39D0">
        <w:rPr>
          <w:rFonts w:ascii="Times New Roman" w:eastAsia="Times New Roman" w:hAnsi="Times New Roman"/>
          <w:i/>
          <w:sz w:val="28"/>
          <w:szCs w:val="28"/>
          <w:lang w:val="uk-UA" w:eastAsia="ar-SA"/>
        </w:rPr>
        <w:t>Дисертантом проведено клінічне стоматологічне обстеження пацієнтів та здійснено аналіз отриманих даних</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Вивчення поширеності некаріозних уражень твердих тканин зубів у дітей 5-18 років, хворих на алергічні захворювання / </w:t>
      </w:r>
      <w:r w:rsidRPr="00DD39D0">
        <w:rPr>
          <w:rFonts w:ascii="Times New Roman" w:eastAsia="Times New Roman" w:hAnsi="Times New Roman"/>
          <w:sz w:val="28"/>
          <w:szCs w:val="28"/>
          <w:lang w:val="uk-UA" w:eastAsia="ar-SA"/>
        </w:rPr>
        <w:br/>
        <w:t>Л. С. Кривенко // Інноваційні технології у сучасній стоматології: матеріали науково-практичної конференції, Івано-Франківськ, 20 березня 2015. – Івано-Франківськ, 2015. – С. 89-90.</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 С. Прояви патологічних змін у порожнині рота дітей, хворих на алергічні захворювання / Л. С. Кривенко // </w:t>
      </w:r>
      <w:r w:rsidR="0076154B" w:rsidRPr="0076154B">
        <w:rPr>
          <w:rFonts w:ascii="Times New Roman" w:eastAsia="Times New Roman" w:hAnsi="Times New Roman"/>
          <w:sz w:val="28"/>
          <w:szCs w:val="28"/>
          <w:lang w:val="uk-UA" w:eastAsia="ar-SA"/>
        </w:rPr>
        <w:t>Інноваційні технології в стоматології</w:t>
      </w:r>
      <w:r w:rsidRPr="00DD39D0">
        <w:rPr>
          <w:rFonts w:ascii="Times New Roman" w:eastAsia="Times New Roman" w:hAnsi="Times New Roman"/>
          <w:sz w:val="28"/>
          <w:szCs w:val="28"/>
          <w:lang w:val="uk-UA" w:eastAsia="ar-SA"/>
        </w:rPr>
        <w:t xml:space="preserve">: матеріали </w:t>
      </w:r>
      <w:r w:rsidR="0076154B">
        <w:rPr>
          <w:rFonts w:ascii="Times New Roman" w:eastAsia="Times New Roman" w:hAnsi="Times New Roman"/>
          <w:sz w:val="28"/>
          <w:szCs w:val="28"/>
          <w:lang w:val="uk-UA" w:eastAsia="ar-SA"/>
        </w:rPr>
        <w:t>науково-практичної конференції, Тернопіль, 23 вересня 2016</w:t>
      </w:r>
      <w:r w:rsidRPr="00DD39D0">
        <w:rPr>
          <w:rFonts w:ascii="Times New Roman" w:eastAsia="Times New Roman" w:hAnsi="Times New Roman"/>
          <w:sz w:val="28"/>
          <w:szCs w:val="28"/>
          <w:lang w:val="uk-UA" w:eastAsia="ar-SA"/>
        </w:rPr>
        <w:t xml:space="preserve">. </w:t>
      </w:r>
      <w:r w:rsidR="0076154B">
        <w:rPr>
          <w:rFonts w:ascii="Times New Roman" w:eastAsia="Times New Roman" w:hAnsi="Times New Roman"/>
          <w:sz w:val="28"/>
          <w:szCs w:val="28"/>
          <w:lang w:val="uk-UA" w:eastAsia="ar-SA"/>
        </w:rPr>
        <w:t>– Тернопіль, 2016. – С.72-73</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 Гігієнічний та пародонтальний статус дітей, хворих на бронхіальну астму / Л. С. Кривенко // Медицина третього тисячоліття: матеріали міжвузівської конференції молодих вчених та студентів, Харків, 20 січня 2016. – Харків, 2016. – С. 416-417.</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Oral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cavity</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hygienic</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status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in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children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with</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asthma</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val="uk-UA" w:eastAsia="ar-SA"/>
        </w:rPr>
        <w:br/>
        <w:t xml:space="preserve">L.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eastAsia="ar-SA"/>
        </w:rPr>
        <w:t>International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Student</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Congress: abstract book</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Graz</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Austria</w:t>
      </w:r>
      <w:r w:rsidRPr="00DD39D0">
        <w:rPr>
          <w:rFonts w:ascii="Times New Roman" w:eastAsia="Times New Roman" w:hAnsi="Times New Roman"/>
          <w:sz w:val="28"/>
          <w:szCs w:val="28"/>
          <w:lang w:val="uk-UA" w:eastAsia="ar-SA"/>
        </w:rPr>
        <w:t xml:space="preserve">, 26-28 </w:t>
      </w:r>
      <w:r w:rsidRPr="00DD39D0">
        <w:rPr>
          <w:rFonts w:ascii="Times New Roman" w:eastAsia="Times New Roman" w:hAnsi="Times New Roman"/>
          <w:sz w:val="28"/>
          <w:szCs w:val="28"/>
          <w:lang w:eastAsia="ar-SA"/>
        </w:rPr>
        <w:t>May</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 xml:space="preserve">2016. – Graz, 2016. </w:t>
      </w:r>
      <w:r w:rsidR="0076154B">
        <w:rPr>
          <w:rFonts w:ascii="Times New Roman" w:eastAsia="Times New Roman" w:hAnsi="Times New Roman"/>
          <w:sz w:val="28"/>
          <w:szCs w:val="28"/>
          <w:lang w:val="uk-UA" w:eastAsia="ar-SA"/>
        </w:rPr>
        <w:t>– Р. 131</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Kryvenko L. S. Influence of allergic rhinitis on condition of oral cavity pathology in children / L. S. Kryvenko // International Student Congress: abstract book, Graz, Austria, 26-28 May 2016. – Graz, 2016. – P.74</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 xml:space="preserve">Kryvenko L. S. Periodontal and oral hygiene problems in children with asthma / L. S. Kryvenko // FDI Annual World Dental Congress: </w:t>
      </w:r>
      <w:r w:rsidR="00966525">
        <w:rPr>
          <w:rFonts w:ascii="Times New Roman" w:eastAsia="Times New Roman" w:hAnsi="Times New Roman"/>
          <w:sz w:val="28"/>
          <w:szCs w:val="28"/>
          <w:lang w:eastAsia="ar-SA"/>
        </w:rPr>
        <w:t>International Dental Journal</w:t>
      </w:r>
      <w:r w:rsidRPr="00DD39D0">
        <w:rPr>
          <w:rFonts w:ascii="Times New Roman" w:eastAsia="Times New Roman" w:hAnsi="Times New Roman"/>
          <w:sz w:val="28"/>
          <w:szCs w:val="28"/>
          <w:lang w:eastAsia="ar-SA"/>
        </w:rPr>
        <w:t xml:space="preserve">, Poznan, Poland, 7-10 September 2016. – Poznan, 2016. </w:t>
      </w:r>
      <w:r w:rsidR="00966525">
        <w:rPr>
          <w:rFonts w:ascii="Times New Roman" w:eastAsia="Times New Roman" w:hAnsi="Times New Roman"/>
          <w:sz w:val="28"/>
          <w:szCs w:val="28"/>
          <w:lang w:val="uk-UA" w:eastAsia="ar-SA"/>
        </w:rPr>
        <w:t>– Р. 1</w:t>
      </w:r>
      <w:r w:rsidR="00966525">
        <w:rPr>
          <w:rFonts w:ascii="Times New Roman" w:eastAsia="Times New Roman" w:hAnsi="Times New Roman"/>
          <w:sz w:val="28"/>
          <w:szCs w:val="28"/>
          <w:lang w:eastAsia="ar-SA"/>
        </w:rPr>
        <w:t>47</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Kryvenko L. S. Comparative characteristic of periodontal and oral hygiene status in children with allergic diseases / L. S. Kryvenko // Actual problems of clinical and theoretical medicine: IXth International Interdisciplinary Scientific Conference of Young Scientists and M</w:t>
      </w:r>
      <w:r w:rsidR="00966525">
        <w:rPr>
          <w:rFonts w:ascii="Times New Roman" w:eastAsia="Times New Roman" w:hAnsi="Times New Roman"/>
          <w:sz w:val="28"/>
          <w:szCs w:val="28"/>
          <w:lang w:eastAsia="ar-SA"/>
        </w:rPr>
        <w:t xml:space="preserve">edical Students, </w:t>
      </w:r>
      <w:r w:rsidR="00966525" w:rsidRPr="00DD39D0">
        <w:rPr>
          <w:rFonts w:ascii="Times New Roman" w:eastAsia="Times New Roman" w:hAnsi="Times New Roman"/>
          <w:sz w:val="28"/>
          <w:szCs w:val="28"/>
          <w:lang w:eastAsia="ar-SA"/>
        </w:rPr>
        <w:t>Kharkiv</w:t>
      </w:r>
      <w:r w:rsidR="00966525">
        <w:rPr>
          <w:rFonts w:ascii="Times New Roman" w:eastAsia="Times New Roman" w:hAnsi="Times New Roman"/>
          <w:sz w:val="28"/>
          <w:szCs w:val="28"/>
          <w:lang w:val="uk-UA" w:eastAsia="ar-SA"/>
        </w:rPr>
        <w:t>,</w:t>
      </w:r>
      <w:r w:rsidR="00966525">
        <w:rPr>
          <w:rFonts w:ascii="Times New Roman" w:eastAsia="Times New Roman" w:hAnsi="Times New Roman"/>
          <w:sz w:val="28"/>
          <w:szCs w:val="28"/>
          <w:lang w:eastAsia="ar-SA"/>
        </w:rPr>
        <w:t xml:space="preserve"> 22-23 May 2016</w:t>
      </w:r>
      <w:r w:rsidRPr="00DD39D0">
        <w:rPr>
          <w:rFonts w:ascii="Times New Roman" w:eastAsia="Times New Roman" w:hAnsi="Times New Roman"/>
          <w:sz w:val="28"/>
          <w:szCs w:val="28"/>
          <w:lang w:eastAsia="ar-SA"/>
        </w:rPr>
        <w:t>. – Kharkiv, 2016. – P.</w:t>
      </w:r>
      <w:r w:rsidRPr="00DD39D0">
        <w:rPr>
          <w:rFonts w:ascii="Times New Roman" w:eastAsia="Times New Roman" w:hAnsi="Times New Roman"/>
          <w:sz w:val="28"/>
          <w:szCs w:val="28"/>
          <w:lang w:val="uk-UA" w:eastAsia="ar-SA"/>
        </w:rPr>
        <w:t xml:space="preserve"> </w:t>
      </w:r>
      <w:r w:rsidR="0076154B">
        <w:rPr>
          <w:rFonts w:ascii="Times New Roman" w:eastAsia="Times New Roman" w:hAnsi="Times New Roman"/>
          <w:sz w:val="28"/>
          <w:szCs w:val="28"/>
          <w:lang w:eastAsia="ar-SA"/>
        </w:rPr>
        <w:t>85</w:t>
      </w:r>
      <w:r w:rsidRPr="00DD39D0">
        <w:rPr>
          <w:rFonts w:ascii="Times New Roman" w:eastAsia="Times New Roman" w:hAnsi="Times New Roman"/>
          <w:sz w:val="28"/>
          <w:szCs w:val="28"/>
          <w:lang w:val="uk-UA" w:eastAsia="ar-SA"/>
        </w:rPr>
        <w:t>.</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 xml:space="preserve">Kryvenko L. S. Modulation of the immune response in the oral cavity in atopic disease / L. Kryvenko, A. S. Tarawneh, R. Nazaryan, V. Gargin // </w:t>
      </w:r>
      <w:r w:rsidR="00966525" w:rsidRPr="00DD39D0">
        <w:rPr>
          <w:rFonts w:ascii="Times New Roman" w:eastAsia="Times New Roman" w:hAnsi="Times New Roman"/>
          <w:sz w:val="28"/>
          <w:szCs w:val="28"/>
          <w:lang w:eastAsia="ar-SA"/>
        </w:rPr>
        <w:t>Graz</w:t>
      </w:r>
      <w:r w:rsidR="00966525" w:rsidRPr="00966525">
        <w:rPr>
          <w:rFonts w:ascii="Times New Roman" w:eastAsia="Times New Roman" w:hAnsi="Times New Roman"/>
          <w:sz w:val="28"/>
          <w:szCs w:val="28"/>
          <w:lang w:eastAsia="ar-SA"/>
        </w:rPr>
        <w:t xml:space="preserve">, </w:t>
      </w:r>
      <w:r w:rsidR="00966525" w:rsidRPr="00DD39D0">
        <w:rPr>
          <w:rFonts w:ascii="Times New Roman" w:eastAsia="Times New Roman" w:hAnsi="Times New Roman"/>
          <w:sz w:val="28"/>
          <w:szCs w:val="28"/>
          <w:lang w:eastAsia="ar-SA"/>
        </w:rPr>
        <w:t>Austria</w:t>
      </w:r>
      <w:r w:rsidR="00966525" w:rsidRPr="00966525">
        <w:rPr>
          <w:rFonts w:ascii="Times New Roman" w:eastAsia="Times New Roman" w:hAnsi="Times New Roman"/>
          <w:sz w:val="28"/>
          <w:szCs w:val="28"/>
          <w:lang w:eastAsia="ar-SA"/>
        </w:rPr>
        <w:t xml:space="preserve">, </w:t>
      </w:r>
      <w:r w:rsidRPr="00DD39D0">
        <w:rPr>
          <w:rFonts w:ascii="Times New Roman" w:eastAsia="Times New Roman" w:hAnsi="Times New Roman"/>
          <w:sz w:val="28"/>
          <w:szCs w:val="28"/>
          <w:lang w:eastAsia="ar-SA"/>
        </w:rPr>
        <w:t xml:space="preserve">May 25th – May 27th, 2017. </w:t>
      </w:r>
      <w:r w:rsidRPr="00966525">
        <w:rPr>
          <w:rFonts w:ascii="Times New Roman" w:eastAsia="Times New Roman" w:hAnsi="Times New Roman"/>
          <w:sz w:val="28"/>
          <w:szCs w:val="28"/>
          <w:lang w:eastAsia="ar-SA"/>
        </w:rPr>
        <w:t xml:space="preserve">– </w:t>
      </w:r>
      <w:r w:rsidRPr="00DD39D0">
        <w:rPr>
          <w:rFonts w:ascii="Times New Roman" w:eastAsia="Times New Roman" w:hAnsi="Times New Roman"/>
          <w:sz w:val="28"/>
          <w:szCs w:val="28"/>
          <w:lang w:eastAsia="ar-SA"/>
        </w:rPr>
        <w:t>Graz</w:t>
      </w:r>
      <w:r w:rsidRPr="00966525">
        <w:rPr>
          <w:rFonts w:ascii="Times New Roman" w:eastAsia="Times New Roman" w:hAnsi="Times New Roman"/>
          <w:sz w:val="28"/>
          <w:szCs w:val="28"/>
          <w:lang w:eastAsia="ar-SA"/>
        </w:rPr>
        <w:t xml:space="preserve">, 2017. – </w:t>
      </w:r>
      <w:r w:rsidRPr="00DD39D0">
        <w:rPr>
          <w:rFonts w:ascii="Times New Roman" w:eastAsia="Times New Roman" w:hAnsi="Times New Roman"/>
          <w:sz w:val="28"/>
          <w:szCs w:val="28"/>
          <w:lang w:eastAsia="ar-SA"/>
        </w:rPr>
        <w:t>P</w:t>
      </w:r>
      <w:r w:rsidRPr="00966525">
        <w:rPr>
          <w:rFonts w:ascii="Times New Roman" w:eastAsia="Times New Roman" w:hAnsi="Times New Roman"/>
          <w:sz w:val="28"/>
          <w:szCs w:val="28"/>
          <w:lang w:eastAsia="ar-SA"/>
        </w:rPr>
        <w:t>. 134.</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i/>
          <w:sz w:val="28"/>
          <w:szCs w:val="28"/>
          <w:lang w:val="uk-UA" w:eastAsia="ar-SA"/>
        </w:rPr>
        <w:t>Дисертантом запропоновано модель  експерименту, проаналізовано отримані дані змін тканин ротової порожнини)</w:t>
      </w:r>
    </w:p>
    <w:p w:rsidR="00191A76" w:rsidRPr="00DD39D0"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Кривенко Л. С.</w:t>
      </w:r>
      <w:r w:rsidRPr="00DD39D0">
        <w:rPr>
          <w:rFonts w:ascii="Times New Roman" w:eastAsia="Times New Roman" w:hAnsi="Times New Roman"/>
          <w:sz w:val="28"/>
          <w:szCs w:val="28"/>
          <w:lang w:val="ru-RU" w:eastAsia="ar-SA"/>
        </w:rPr>
        <w:t xml:space="preserve"> Морфофункциональные особенности состояния ротовой </w:t>
      </w:r>
      <w:r w:rsidRPr="00DD39D0">
        <w:rPr>
          <w:rFonts w:ascii="Times New Roman" w:eastAsia="Times New Roman" w:hAnsi="Times New Roman"/>
          <w:sz w:val="28"/>
          <w:szCs w:val="28"/>
          <w:lang w:val="uk-UA" w:eastAsia="ar-SA"/>
        </w:rPr>
        <w:t>Кривенко Л. С.</w:t>
      </w:r>
      <w:r w:rsidRPr="00DD39D0">
        <w:rPr>
          <w:rFonts w:ascii="Times New Roman" w:eastAsia="Times New Roman" w:hAnsi="Times New Roman"/>
          <w:sz w:val="28"/>
          <w:szCs w:val="28"/>
          <w:lang w:val="ru-RU" w:eastAsia="ar-SA"/>
        </w:rPr>
        <w:t xml:space="preserve"> Состояние мягких тканей ротовой полости при моделировании атопической патологии / Л. </w:t>
      </w:r>
      <w:r w:rsidRPr="00DD39D0">
        <w:rPr>
          <w:rFonts w:ascii="Times New Roman" w:eastAsia="Times New Roman" w:hAnsi="Times New Roman"/>
          <w:sz w:val="28"/>
          <w:szCs w:val="28"/>
          <w:lang w:val="uk-UA" w:eastAsia="ar-SA"/>
        </w:rPr>
        <w:t xml:space="preserve">С. Кривенко, В. В. </w:t>
      </w:r>
      <w:r w:rsidRPr="00DD39D0">
        <w:rPr>
          <w:rFonts w:ascii="Times New Roman" w:eastAsia="Times New Roman" w:hAnsi="Times New Roman"/>
          <w:sz w:val="28"/>
          <w:szCs w:val="28"/>
          <w:lang w:val="ru-RU" w:eastAsia="ar-SA"/>
        </w:rPr>
        <w:t xml:space="preserve">Гаргін, </w:t>
      </w:r>
      <w:r w:rsidRPr="00DD39D0">
        <w:rPr>
          <w:rFonts w:ascii="Times New Roman" w:eastAsia="Times New Roman" w:hAnsi="Times New Roman"/>
          <w:sz w:val="28"/>
          <w:szCs w:val="28"/>
          <w:lang w:val="uk-UA" w:eastAsia="ar-SA"/>
        </w:rPr>
        <w:t xml:space="preserve">Р. С. </w:t>
      </w:r>
      <w:r w:rsidRPr="00DD39D0">
        <w:rPr>
          <w:rFonts w:ascii="Times New Roman" w:eastAsia="Times New Roman" w:hAnsi="Times New Roman"/>
          <w:sz w:val="28"/>
          <w:szCs w:val="28"/>
          <w:lang w:val="ru-RU" w:eastAsia="ar-SA"/>
        </w:rPr>
        <w:t>Назарян //</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 xml:space="preserve">Актуальні проблеми сучасної патологічної анатомії: </w:t>
      </w:r>
      <w:r w:rsidRPr="00DD39D0">
        <w:rPr>
          <w:rFonts w:ascii="Times New Roman" w:eastAsia="Times New Roman" w:hAnsi="Times New Roman"/>
          <w:sz w:val="28"/>
          <w:szCs w:val="28"/>
          <w:lang w:val="ru-RU" w:eastAsia="ar-SA"/>
        </w:rPr>
        <w:lastRenderedPageBreak/>
        <w:t xml:space="preserve">матеріали науково-практичної конференції, </w:t>
      </w:r>
      <w:r w:rsidR="00966525" w:rsidRPr="00DD39D0">
        <w:rPr>
          <w:rFonts w:ascii="Times New Roman" w:eastAsia="Times New Roman" w:hAnsi="Times New Roman"/>
          <w:sz w:val="28"/>
          <w:szCs w:val="28"/>
          <w:lang w:val="ru-RU" w:eastAsia="ar-SA"/>
        </w:rPr>
        <w:t>Київ</w:t>
      </w:r>
      <w:r w:rsidR="00966525">
        <w:rPr>
          <w:rFonts w:ascii="Times New Roman" w:eastAsia="Times New Roman" w:hAnsi="Times New Roman"/>
          <w:sz w:val="28"/>
          <w:szCs w:val="28"/>
          <w:lang w:val="ru-RU" w:eastAsia="ar-SA"/>
        </w:rPr>
        <w:t>,</w:t>
      </w:r>
      <w:r w:rsidR="00966525">
        <w:rPr>
          <w:rFonts w:ascii="Times New Roman" w:eastAsia="Times New Roman" w:hAnsi="Times New Roman"/>
          <w:sz w:val="28"/>
          <w:szCs w:val="28"/>
          <w:lang w:val="uk-UA" w:eastAsia="ar-SA"/>
        </w:rPr>
        <w:t xml:space="preserve"> 26-27 квітня</w:t>
      </w:r>
      <w:r w:rsidRPr="00DD39D0">
        <w:rPr>
          <w:rFonts w:ascii="Times New Roman" w:eastAsia="Times New Roman" w:hAnsi="Times New Roman"/>
          <w:sz w:val="28"/>
          <w:szCs w:val="28"/>
          <w:lang w:val="ru-RU" w:eastAsia="ar-SA"/>
        </w:rPr>
        <w:t xml:space="preserve"> 2017.</w:t>
      </w:r>
      <w:r w:rsidR="0076154B">
        <w:rPr>
          <w:rFonts w:ascii="Times New Roman" w:eastAsia="Times New Roman" w:hAnsi="Times New Roman"/>
          <w:sz w:val="28"/>
          <w:szCs w:val="28"/>
          <w:lang w:val="uk-UA" w:eastAsia="ar-SA"/>
        </w:rPr>
        <w:t xml:space="preserve"> – Київ, 2017. – С.26-28</w:t>
      </w:r>
      <w:r w:rsidRPr="00DD39D0">
        <w:rPr>
          <w:rFonts w:ascii="Times New Roman" w:eastAsia="Times New Roman" w:hAnsi="Times New Roman"/>
          <w:sz w:val="28"/>
          <w:szCs w:val="28"/>
          <w:lang w:val="ru-RU" w:eastAsia="ar-SA"/>
        </w:rPr>
        <w:t xml:space="preserve"> </w:t>
      </w:r>
      <w:r w:rsidRPr="00DD39D0">
        <w:rPr>
          <w:rFonts w:ascii="Times New Roman" w:eastAsia="Times New Roman" w:hAnsi="Times New Roman"/>
          <w:sz w:val="28"/>
          <w:szCs w:val="28"/>
          <w:lang w:val="uk-UA" w:eastAsia="ar-SA"/>
        </w:rPr>
        <w:t>(</w:t>
      </w:r>
      <w:r w:rsidRPr="00DD39D0">
        <w:rPr>
          <w:rFonts w:ascii="Times New Roman" w:eastAsia="Times New Roman" w:hAnsi="Times New Roman"/>
          <w:i/>
          <w:sz w:val="28"/>
          <w:szCs w:val="28"/>
          <w:lang w:val="uk-UA" w:eastAsia="ar-SA"/>
        </w:rPr>
        <w:t>Дисертантом запропоновано модель  експерименту, проаналізовано отримані дані змін тканин ротової порожнини</w:t>
      </w:r>
      <w:r w:rsidRPr="00DD39D0">
        <w:rPr>
          <w:rFonts w:ascii="Times New Roman" w:eastAsia="Times New Roman" w:hAnsi="Times New Roman"/>
          <w:sz w:val="28"/>
          <w:szCs w:val="28"/>
          <w:lang w:val="uk-UA" w:eastAsia="ar-SA"/>
        </w:rPr>
        <w:t>)</w:t>
      </w:r>
    </w:p>
    <w:p w:rsidR="00191A76" w:rsidRDefault="00191A76"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val="uk-UA" w:eastAsia="ar-SA"/>
        </w:rPr>
        <w:t xml:space="preserve">Кривенко Л.С. </w:t>
      </w:r>
      <w:r w:rsidRPr="00DD39D0">
        <w:rPr>
          <w:rFonts w:ascii="Times New Roman" w:eastAsia="Times New Roman" w:hAnsi="Times New Roman"/>
          <w:sz w:val="28"/>
          <w:szCs w:val="28"/>
          <w:lang w:val="ru-RU" w:eastAsia="ar-SA"/>
        </w:rPr>
        <w:t xml:space="preserve">Морфофункциональные особенности состояния ротовой полости при моделировании атопической патологии / В.В. Гаргин, Л.С. Кривенко, Р.С. Назарян // </w:t>
      </w:r>
      <w:r w:rsidRPr="00DD39D0">
        <w:rPr>
          <w:rFonts w:ascii="Times New Roman" w:eastAsia="Times New Roman" w:hAnsi="Times New Roman"/>
          <w:sz w:val="28"/>
          <w:szCs w:val="28"/>
          <w:lang w:val="uk-UA" w:eastAsia="ar-SA"/>
        </w:rPr>
        <w:t>Щорічні терапевтичні читання: медикаментозна та немедикаментозна профілактика неінфекційних захворювань: погляд в майбутнє: матеріали науково-практичної конференції з міжнародною участю</w:t>
      </w:r>
      <w:r w:rsidRPr="00DD39D0">
        <w:rPr>
          <w:rFonts w:ascii="Times New Roman" w:eastAsia="Times New Roman" w:hAnsi="Times New Roman"/>
          <w:sz w:val="28"/>
          <w:szCs w:val="28"/>
          <w:lang w:val="ru-RU" w:eastAsia="ar-SA"/>
        </w:rPr>
        <w:t xml:space="preserve">, </w:t>
      </w:r>
      <w:r w:rsidR="00966525" w:rsidRPr="00DD39D0">
        <w:rPr>
          <w:rFonts w:ascii="Times New Roman" w:eastAsia="Times New Roman" w:hAnsi="Times New Roman"/>
          <w:sz w:val="28"/>
          <w:szCs w:val="28"/>
          <w:lang w:val="uk-UA" w:eastAsia="ar-SA"/>
        </w:rPr>
        <w:t>Харків</w:t>
      </w:r>
      <w:r w:rsidR="00966525">
        <w:rPr>
          <w:rFonts w:ascii="Times New Roman" w:eastAsia="Times New Roman" w:hAnsi="Times New Roman"/>
          <w:sz w:val="28"/>
          <w:szCs w:val="28"/>
          <w:lang w:val="uk-UA" w:eastAsia="ar-SA"/>
        </w:rPr>
        <w:t>,</w:t>
      </w:r>
      <w:r w:rsidR="00966525" w:rsidRPr="00DD39D0">
        <w:rPr>
          <w:rFonts w:ascii="Times New Roman" w:eastAsia="Times New Roman" w:hAnsi="Times New Roman"/>
          <w:sz w:val="28"/>
          <w:szCs w:val="28"/>
          <w:lang w:val="ru-RU" w:eastAsia="ar-SA"/>
        </w:rPr>
        <w:t xml:space="preserve"> </w:t>
      </w:r>
      <w:r w:rsidRPr="00DD39D0">
        <w:rPr>
          <w:rFonts w:ascii="Times New Roman" w:eastAsia="Times New Roman" w:hAnsi="Times New Roman"/>
          <w:sz w:val="28"/>
          <w:szCs w:val="28"/>
          <w:lang w:val="ru-RU" w:eastAsia="ar-SA"/>
        </w:rPr>
        <w:t>20 кв</w:t>
      </w:r>
      <w:r w:rsidR="00966525">
        <w:rPr>
          <w:rFonts w:ascii="Times New Roman" w:eastAsia="Times New Roman" w:hAnsi="Times New Roman"/>
          <w:sz w:val="28"/>
          <w:szCs w:val="28"/>
          <w:lang w:val="uk-UA" w:eastAsia="ar-SA"/>
        </w:rPr>
        <w:t>ітня 2017</w:t>
      </w:r>
      <w:r w:rsidRPr="00DD39D0">
        <w:rPr>
          <w:rFonts w:ascii="Times New Roman" w:eastAsia="Times New Roman" w:hAnsi="Times New Roman"/>
          <w:sz w:val="28"/>
          <w:szCs w:val="28"/>
          <w:lang w:val="uk-UA" w:eastAsia="ar-SA"/>
        </w:rPr>
        <w:t>. – Харків, 2017. – С. 54.</w:t>
      </w:r>
    </w:p>
    <w:p w:rsidR="00966525" w:rsidRPr="00966525" w:rsidRDefault="00966525" w:rsidP="00966525">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L</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Oxidative</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stress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markers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and</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chronic</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gingivitis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in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children</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with</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asthma</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allergic</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rhinitis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atopic</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val="ru-RU" w:eastAsia="ar-SA"/>
        </w:rPr>
        <w:t>dermatitis</w:t>
      </w:r>
      <w:r w:rsidRPr="00DD39D0">
        <w:rPr>
          <w:rFonts w:ascii="Times New Roman" w:eastAsia="Times New Roman" w:hAnsi="Times New Roman"/>
          <w:sz w:val="28"/>
          <w:szCs w:val="28"/>
          <w:lang w:val="uk-UA" w:eastAsia="ar-SA"/>
        </w:rPr>
        <w:t xml:space="preserve"> / L. </w:t>
      </w:r>
      <w:r w:rsidRPr="00DD39D0">
        <w:rPr>
          <w:rFonts w:ascii="Times New Roman" w:eastAsia="Times New Roman" w:hAnsi="Times New Roman"/>
          <w:sz w:val="28"/>
          <w:szCs w:val="28"/>
          <w:lang w:eastAsia="ar-SA"/>
        </w:rPr>
        <w:t>S</w:t>
      </w:r>
      <w:r w:rsidRPr="00DD39D0">
        <w:rPr>
          <w:rFonts w:ascii="Times New Roman" w:eastAsia="Times New Roman" w:hAnsi="Times New Roman"/>
          <w:sz w:val="28"/>
          <w:szCs w:val="28"/>
          <w:lang w:val="uk-UA" w:eastAsia="ar-SA"/>
        </w:rPr>
        <w:t xml:space="preserve">. </w:t>
      </w:r>
      <w:r w:rsidRPr="00DD39D0">
        <w:rPr>
          <w:rFonts w:ascii="Times New Roman" w:eastAsia="Times New Roman" w:hAnsi="Times New Roman"/>
          <w:sz w:val="28"/>
          <w:szCs w:val="28"/>
          <w:lang w:eastAsia="ar-SA"/>
        </w:rPr>
        <w:t>Kryvenko</w:t>
      </w:r>
      <w:r w:rsidRPr="00DD39D0">
        <w:rPr>
          <w:rFonts w:ascii="Times New Roman" w:eastAsia="Times New Roman" w:hAnsi="Times New Roman"/>
          <w:sz w:val="28"/>
          <w:szCs w:val="28"/>
          <w:lang w:val="uk-UA" w:eastAsia="ar-SA"/>
        </w:rPr>
        <w:t xml:space="preserve"> // </w:t>
      </w:r>
      <w:r w:rsidRPr="00DD39D0">
        <w:rPr>
          <w:rFonts w:ascii="Times New Roman" w:eastAsia="Times New Roman" w:hAnsi="Times New Roman"/>
          <w:sz w:val="28"/>
          <w:szCs w:val="28"/>
          <w:lang w:val="uk-UA" w:eastAsia="ar-SA"/>
        </w:rPr>
        <w:br/>
        <w:t xml:space="preserve">Наука и медицина: современный взгляд молодежи: материалы </w:t>
      </w:r>
      <w:r w:rsidRPr="00DD39D0">
        <w:rPr>
          <w:rFonts w:ascii="Times New Roman" w:eastAsia="Times New Roman" w:hAnsi="Times New Roman"/>
          <w:sz w:val="28"/>
          <w:szCs w:val="28"/>
          <w:lang w:val="ru-RU" w:eastAsia="ar-SA"/>
        </w:rPr>
        <w:t>IV</w:t>
      </w:r>
      <w:r w:rsidRPr="00DD39D0">
        <w:rPr>
          <w:rFonts w:ascii="Times New Roman" w:eastAsia="Times New Roman" w:hAnsi="Times New Roman"/>
          <w:sz w:val="28"/>
          <w:szCs w:val="28"/>
          <w:lang w:val="uk-UA" w:eastAsia="ar-SA"/>
        </w:rPr>
        <w:t xml:space="preserve"> международной научно-практической к</w:t>
      </w:r>
      <w:r>
        <w:rPr>
          <w:rFonts w:ascii="Times New Roman" w:eastAsia="Times New Roman" w:hAnsi="Times New Roman"/>
          <w:sz w:val="28"/>
          <w:szCs w:val="28"/>
          <w:lang w:val="uk-UA" w:eastAsia="ar-SA"/>
        </w:rPr>
        <w:t xml:space="preserve">онференции, </w:t>
      </w:r>
      <w:r w:rsidRPr="00DD39D0">
        <w:rPr>
          <w:rFonts w:ascii="Times New Roman" w:eastAsia="Times New Roman" w:hAnsi="Times New Roman"/>
          <w:sz w:val="28"/>
          <w:szCs w:val="28"/>
          <w:lang w:val="uk-UA" w:eastAsia="ar-SA"/>
        </w:rPr>
        <w:t>Алматы</w:t>
      </w:r>
      <w:r>
        <w:rPr>
          <w:rFonts w:ascii="Times New Roman" w:eastAsia="Times New Roman" w:hAnsi="Times New Roman"/>
          <w:sz w:val="28"/>
          <w:szCs w:val="28"/>
          <w:lang w:val="uk-UA" w:eastAsia="ar-SA"/>
        </w:rPr>
        <w:t>, 20-21 апреля 2017</w:t>
      </w:r>
      <w:r w:rsidR="0076154B">
        <w:rPr>
          <w:rFonts w:ascii="Times New Roman" w:eastAsia="Times New Roman" w:hAnsi="Times New Roman"/>
          <w:sz w:val="28"/>
          <w:szCs w:val="28"/>
          <w:lang w:val="uk-UA" w:eastAsia="ar-SA"/>
        </w:rPr>
        <w:t>. – Алматы, 2017. – С.316-317</w:t>
      </w:r>
      <w:r w:rsidRPr="00DD39D0">
        <w:rPr>
          <w:rFonts w:ascii="Times New Roman" w:eastAsia="Times New Roman" w:hAnsi="Times New Roman"/>
          <w:sz w:val="28"/>
          <w:szCs w:val="28"/>
          <w:lang w:val="uk-UA" w:eastAsia="ar-SA"/>
        </w:rPr>
        <w:t>.</w:t>
      </w:r>
    </w:p>
    <w:p w:rsidR="00966525" w:rsidRPr="00DD39D0" w:rsidRDefault="00966525" w:rsidP="006721D7">
      <w:pPr>
        <w:widowControl w:val="0"/>
        <w:numPr>
          <w:ilvl w:val="0"/>
          <w:numId w:val="4"/>
        </w:numPr>
        <w:suppressAutoHyphens/>
        <w:autoSpaceDE w:val="0"/>
        <w:spacing w:after="0"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xml:space="preserve">Кривенко Л.С. Досвід оптимізації лікування хронічного гінгівіту у дітей з атопічними захворюваннями / Л.С. Кривенко // Актуальні питання науково-практичної стоматології: матеріали </w:t>
      </w:r>
      <w:r>
        <w:rPr>
          <w:rFonts w:ascii="Times New Roman" w:eastAsia="Times New Roman" w:hAnsi="Times New Roman"/>
          <w:sz w:val="28"/>
          <w:szCs w:val="28"/>
          <w:lang w:eastAsia="ar-SA"/>
        </w:rPr>
        <w:t>VI</w:t>
      </w:r>
      <w:r>
        <w:rPr>
          <w:rFonts w:ascii="Times New Roman" w:eastAsia="Times New Roman" w:hAnsi="Times New Roman"/>
          <w:sz w:val="28"/>
          <w:szCs w:val="28"/>
          <w:lang w:val="uk-UA" w:eastAsia="ar-SA"/>
        </w:rPr>
        <w:t xml:space="preserve"> міжнародної стоматологічної конференції студентів та молодих вчених, Харків, 20-22 квітня 2017. – Харків, 2017. – С. 112-113.</w:t>
      </w:r>
    </w:p>
    <w:p w:rsidR="00191A76" w:rsidRPr="00DD39D0" w:rsidRDefault="00191A76" w:rsidP="006721D7">
      <w:pPr>
        <w:spacing w:line="240" w:lineRule="auto"/>
        <w:rPr>
          <w:rFonts w:ascii="Times New Roman" w:hAnsi="Times New Roman"/>
          <w:sz w:val="28"/>
          <w:szCs w:val="28"/>
          <w:lang w:val="uk-UA"/>
        </w:rPr>
      </w:pPr>
    </w:p>
    <w:p w:rsidR="00F648E4" w:rsidRDefault="00F648E4" w:rsidP="008C0DA2">
      <w:pPr>
        <w:spacing w:after="0" w:line="240" w:lineRule="auto"/>
        <w:jc w:val="center"/>
        <w:rPr>
          <w:rFonts w:ascii="Times New Roman" w:hAnsi="Times New Roman"/>
          <w:b/>
          <w:sz w:val="28"/>
          <w:szCs w:val="28"/>
          <w:lang w:val="uk-UA"/>
        </w:rPr>
      </w:pPr>
    </w:p>
    <w:p w:rsidR="00F648E4" w:rsidRDefault="00F648E4" w:rsidP="008C0DA2">
      <w:pPr>
        <w:spacing w:after="0" w:line="240" w:lineRule="auto"/>
        <w:jc w:val="center"/>
        <w:rPr>
          <w:rFonts w:ascii="Times New Roman" w:hAnsi="Times New Roman"/>
          <w:b/>
          <w:sz w:val="28"/>
          <w:szCs w:val="28"/>
          <w:lang w:val="uk-UA"/>
        </w:rPr>
      </w:pPr>
    </w:p>
    <w:p w:rsidR="00871DFA" w:rsidRPr="00DD39D0" w:rsidRDefault="00871DFA" w:rsidP="008C0DA2">
      <w:pPr>
        <w:spacing w:after="0" w:line="240" w:lineRule="auto"/>
        <w:jc w:val="center"/>
        <w:rPr>
          <w:rFonts w:ascii="Times New Roman" w:hAnsi="Times New Roman"/>
          <w:b/>
          <w:sz w:val="28"/>
          <w:szCs w:val="28"/>
          <w:lang w:val="uk-UA"/>
        </w:rPr>
      </w:pPr>
      <w:r w:rsidRPr="00DD39D0">
        <w:rPr>
          <w:rFonts w:ascii="Times New Roman" w:hAnsi="Times New Roman"/>
          <w:b/>
          <w:sz w:val="28"/>
          <w:szCs w:val="28"/>
          <w:lang w:val="uk-UA"/>
        </w:rPr>
        <w:t>АНОТАЦІЯ</w:t>
      </w:r>
    </w:p>
    <w:p w:rsidR="008C0DA2" w:rsidRPr="00DD39D0" w:rsidRDefault="008C0DA2" w:rsidP="008C0DA2">
      <w:pPr>
        <w:spacing w:after="0" w:line="240" w:lineRule="auto"/>
        <w:jc w:val="center"/>
        <w:rPr>
          <w:rFonts w:ascii="Times New Roman" w:hAnsi="Times New Roman"/>
          <w:b/>
          <w:sz w:val="28"/>
          <w:szCs w:val="28"/>
          <w:lang w:val="uk-UA"/>
        </w:rPr>
      </w:pPr>
    </w:p>
    <w:p w:rsidR="00871DFA" w:rsidRPr="00DD39D0" w:rsidRDefault="00871DFA" w:rsidP="002808DD">
      <w:pPr>
        <w:spacing w:after="0" w:line="240" w:lineRule="auto"/>
        <w:ind w:firstLine="709"/>
        <w:jc w:val="both"/>
        <w:rPr>
          <w:rFonts w:ascii="Times New Roman" w:hAnsi="Times New Roman"/>
          <w:b/>
          <w:sz w:val="28"/>
          <w:szCs w:val="28"/>
          <w:lang w:val="uk-UA"/>
        </w:rPr>
      </w:pPr>
      <w:r w:rsidRPr="00DD39D0">
        <w:rPr>
          <w:rFonts w:ascii="Times New Roman" w:hAnsi="Times New Roman"/>
          <w:b/>
          <w:sz w:val="28"/>
          <w:szCs w:val="28"/>
          <w:lang w:val="uk-UA"/>
        </w:rPr>
        <w:t xml:space="preserve">Кривенко Л.С. Гінгівіт у дітей з атопічними захворюваннями (клініка, діагностика, профілактика та лікування). Рукопис. </w:t>
      </w:r>
    </w:p>
    <w:p w:rsidR="00871DFA" w:rsidRPr="00DD39D0" w:rsidRDefault="00871DFA" w:rsidP="002808DD">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Дисертація на здобуття наукового ступеня доктора медичних на</w:t>
      </w:r>
      <w:r w:rsidR="00AE15C0">
        <w:rPr>
          <w:rFonts w:ascii="Times New Roman" w:hAnsi="Times New Roman"/>
          <w:sz w:val="28"/>
          <w:szCs w:val="28"/>
          <w:lang w:val="uk-UA"/>
        </w:rPr>
        <w:t>ук за спеціальністю 14.01.22 – с</w:t>
      </w:r>
      <w:r w:rsidRPr="00DD39D0">
        <w:rPr>
          <w:rFonts w:ascii="Times New Roman" w:hAnsi="Times New Roman"/>
          <w:sz w:val="28"/>
          <w:szCs w:val="28"/>
          <w:lang w:val="uk-UA"/>
        </w:rPr>
        <w:t>томатологія. – Харківський національний медичний університет МОЗ України, Харків, 2018.</w:t>
      </w:r>
    </w:p>
    <w:p w:rsidR="00871DFA" w:rsidRPr="00DD39D0" w:rsidRDefault="009E1F1D" w:rsidP="00871D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дисертаційній роботі представлена концептуально нова програма лікування та профілактики</w:t>
      </w:r>
      <w:r w:rsidRPr="00DD39D0">
        <w:rPr>
          <w:rFonts w:ascii="Times New Roman" w:hAnsi="Times New Roman"/>
          <w:sz w:val="28"/>
          <w:szCs w:val="28"/>
          <w:lang w:val="uk-UA"/>
        </w:rPr>
        <w:t xml:space="preserve"> гінгівіту у дітей на тлі атопічних захворювань шляхом комплексного аналізу стоматологічного статусу, виявлення прогностичних біомаркерів ініціації </w:t>
      </w:r>
      <w:r>
        <w:rPr>
          <w:rFonts w:ascii="Times New Roman" w:hAnsi="Times New Roman"/>
          <w:sz w:val="28"/>
          <w:szCs w:val="28"/>
          <w:lang w:val="uk-UA"/>
        </w:rPr>
        <w:t xml:space="preserve">гінгівіту </w:t>
      </w:r>
      <w:r w:rsidRPr="00DD39D0">
        <w:rPr>
          <w:rFonts w:ascii="Times New Roman" w:hAnsi="Times New Roman"/>
          <w:sz w:val="28"/>
          <w:szCs w:val="28"/>
          <w:lang w:val="uk-UA"/>
        </w:rPr>
        <w:t>та диференційованої корекції імунометаболічних ланок</w:t>
      </w:r>
      <w:r>
        <w:rPr>
          <w:rFonts w:ascii="Times New Roman" w:hAnsi="Times New Roman"/>
          <w:sz w:val="28"/>
          <w:szCs w:val="28"/>
          <w:lang w:val="uk-UA"/>
        </w:rPr>
        <w:t xml:space="preserve"> його</w:t>
      </w:r>
      <w:r w:rsidRPr="00DD39D0">
        <w:rPr>
          <w:rFonts w:ascii="Times New Roman" w:hAnsi="Times New Roman"/>
          <w:sz w:val="28"/>
          <w:szCs w:val="28"/>
          <w:lang w:val="uk-UA"/>
        </w:rPr>
        <w:t xml:space="preserve"> патогенезу.</w:t>
      </w:r>
      <w:r w:rsidR="00871DFA" w:rsidRPr="00DD39D0">
        <w:rPr>
          <w:rFonts w:ascii="Times New Roman" w:hAnsi="Times New Roman"/>
          <w:sz w:val="28"/>
          <w:szCs w:val="28"/>
          <w:lang w:val="uk-UA"/>
        </w:rPr>
        <w:t xml:space="preserve"> </w:t>
      </w:r>
    </w:p>
    <w:p w:rsidR="009E1F1D" w:rsidRDefault="00871DFA" w:rsidP="00A54834">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Встановлено, що у дітей з атопічними захворюваннями ступінь запалення тканин пародонту за індексом </w:t>
      </w:r>
      <w:r w:rsidRPr="00DD39D0">
        <w:rPr>
          <w:rFonts w:ascii="Times New Roman" w:hAnsi="Times New Roman"/>
          <w:sz w:val="28"/>
          <w:szCs w:val="28"/>
        </w:rPr>
        <w:t>SBI</w:t>
      </w:r>
      <w:r w:rsidRPr="00DD39D0">
        <w:rPr>
          <w:rFonts w:ascii="Times New Roman" w:hAnsi="Times New Roman"/>
          <w:sz w:val="28"/>
          <w:szCs w:val="28"/>
          <w:lang w:val="uk-UA"/>
        </w:rPr>
        <w:t xml:space="preserve"> та РМА достовірно вищий, ніж у дітей без соматичної патології. </w:t>
      </w:r>
      <w:r w:rsidR="008C0DA2" w:rsidRPr="00DD39D0">
        <w:rPr>
          <w:rFonts w:ascii="Times New Roman" w:hAnsi="Times New Roman"/>
          <w:sz w:val="28"/>
          <w:szCs w:val="28"/>
          <w:lang w:val="uk-UA"/>
        </w:rPr>
        <w:t>Експериментально доведено, що при атопічних процесах в ротовій порожнині морфологічна картина характеризується запальними, дистрофічними, дисциркуляторними змінами.</w:t>
      </w:r>
      <w:r w:rsidR="00A54834">
        <w:rPr>
          <w:rFonts w:ascii="Times New Roman" w:hAnsi="Times New Roman"/>
          <w:sz w:val="28"/>
          <w:szCs w:val="28"/>
          <w:lang w:val="uk-UA"/>
        </w:rPr>
        <w:t xml:space="preserve"> </w:t>
      </w:r>
      <w:r w:rsidR="008C0DA2" w:rsidRPr="00DD39D0">
        <w:rPr>
          <w:rFonts w:ascii="Times New Roman" w:hAnsi="Times New Roman"/>
          <w:sz w:val="28"/>
          <w:szCs w:val="28"/>
          <w:lang w:val="uk-UA"/>
        </w:rPr>
        <w:t xml:space="preserve">Визначено, що найбільш інформативним біомаркером, який характеризує антиоксидантний статус та дає </w:t>
      </w:r>
      <w:r w:rsidR="008C0DA2" w:rsidRPr="00DD39D0">
        <w:rPr>
          <w:rFonts w:ascii="Times New Roman" w:hAnsi="Times New Roman"/>
          <w:sz w:val="28"/>
          <w:szCs w:val="28"/>
          <w:lang w:val="uk-UA"/>
        </w:rPr>
        <w:lastRenderedPageBreak/>
        <w:t>змогу прогнозувати ступінь запалення тканин пародонту</w:t>
      </w:r>
      <w:r w:rsidR="002808DD">
        <w:rPr>
          <w:rFonts w:ascii="Times New Roman" w:hAnsi="Times New Roman"/>
          <w:sz w:val="28"/>
          <w:szCs w:val="28"/>
          <w:lang w:val="uk-UA"/>
        </w:rPr>
        <w:t>,</w:t>
      </w:r>
      <w:r w:rsidR="008C0DA2" w:rsidRPr="00DD39D0">
        <w:rPr>
          <w:rFonts w:ascii="Times New Roman" w:hAnsi="Times New Roman"/>
          <w:sz w:val="28"/>
          <w:szCs w:val="28"/>
          <w:lang w:val="uk-UA"/>
        </w:rPr>
        <w:t xml:space="preserve"> є рівень глутатіону у ротовій рідині, коефіцієнт детермінації складає 91%. </w:t>
      </w:r>
    </w:p>
    <w:p w:rsidR="008C0DA2" w:rsidRPr="00DD39D0" w:rsidRDefault="008C0DA2" w:rsidP="00871DFA">
      <w:pPr>
        <w:spacing w:after="0" w:line="240" w:lineRule="auto"/>
        <w:ind w:firstLine="709"/>
        <w:jc w:val="both"/>
        <w:rPr>
          <w:rFonts w:ascii="Times New Roman" w:hAnsi="Times New Roman"/>
          <w:sz w:val="28"/>
          <w:szCs w:val="28"/>
          <w:lang w:val="uk-UA"/>
        </w:rPr>
      </w:pPr>
      <w:r w:rsidRPr="00DD39D0">
        <w:rPr>
          <w:rFonts w:ascii="Times New Roman" w:hAnsi="Times New Roman"/>
          <w:b/>
          <w:sz w:val="28"/>
          <w:szCs w:val="28"/>
          <w:lang w:val="uk-UA"/>
        </w:rPr>
        <w:t>Ключові слова:</w:t>
      </w:r>
      <w:r w:rsidRPr="00DD39D0">
        <w:rPr>
          <w:rFonts w:ascii="Times New Roman" w:hAnsi="Times New Roman"/>
          <w:sz w:val="28"/>
          <w:szCs w:val="28"/>
          <w:lang w:val="uk-UA"/>
        </w:rPr>
        <w:t xml:space="preserve"> гінгівіт, атопічні захворювання, імунний статус, антиоксидантний баланс, регресійний аналіз.</w:t>
      </w:r>
    </w:p>
    <w:p w:rsidR="008C0DA2" w:rsidRPr="00DD39D0" w:rsidRDefault="008C0DA2" w:rsidP="00871DFA">
      <w:pPr>
        <w:spacing w:after="0" w:line="240" w:lineRule="auto"/>
        <w:ind w:firstLine="709"/>
        <w:jc w:val="both"/>
        <w:rPr>
          <w:rFonts w:ascii="Times New Roman" w:hAnsi="Times New Roman"/>
          <w:sz w:val="28"/>
          <w:szCs w:val="28"/>
          <w:lang w:val="uk-UA"/>
        </w:rPr>
      </w:pPr>
    </w:p>
    <w:p w:rsidR="008C0DA2" w:rsidRPr="00DD39D0" w:rsidRDefault="008C0DA2" w:rsidP="008C0DA2">
      <w:pPr>
        <w:spacing w:after="0" w:line="240" w:lineRule="auto"/>
        <w:ind w:firstLine="709"/>
        <w:jc w:val="center"/>
        <w:rPr>
          <w:rFonts w:ascii="Times New Roman" w:hAnsi="Times New Roman"/>
          <w:b/>
          <w:sz w:val="28"/>
          <w:szCs w:val="28"/>
          <w:lang w:val="ru-RU"/>
        </w:rPr>
      </w:pPr>
      <w:r w:rsidRPr="00DD39D0">
        <w:rPr>
          <w:rFonts w:ascii="Times New Roman" w:hAnsi="Times New Roman"/>
          <w:b/>
          <w:sz w:val="28"/>
          <w:szCs w:val="28"/>
          <w:lang w:val="ru-RU"/>
        </w:rPr>
        <w:t>АННОТАЦИЯ</w:t>
      </w:r>
    </w:p>
    <w:p w:rsidR="00DD39D0" w:rsidRPr="00DD39D0" w:rsidRDefault="00DD39D0" w:rsidP="008C0DA2">
      <w:pPr>
        <w:spacing w:after="0" w:line="240" w:lineRule="auto"/>
        <w:ind w:firstLine="709"/>
        <w:jc w:val="center"/>
        <w:rPr>
          <w:rFonts w:ascii="Times New Roman" w:hAnsi="Times New Roman"/>
          <w:b/>
          <w:sz w:val="28"/>
          <w:szCs w:val="28"/>
          <w:lang w:val="ru-RU"/>
        </w:rPr>
      </w:pPr>
    </w:p>
    <w:p w:rsidR="00A54611" w:rsidRPr="002808DD" w:rsidRDefault="00A54611" w:rsidP="002808DD">
      <w:pPr>
        <w:spacing w:after="0" w:line="240" w:lineRule="auto"/>
        <w:ind w:firstLine="709"/>
        <w:jc w:val="both"/>
        <w:rPr>
          <w:rFonts w:ascii="Times New Roman" w:hAnsi="Times New Roman"/>
          <w:b/>
          <w:sz w:val="28"/>
          <w:szCs w:val="28"/>
          <w:lang w:val="ru-RU"/>
        </w:rPr>
      </w:pPr>
      <w:r w:rsidRPr="002808DD">
        <w:rPr>
          <w:rFonts w:ascii="Times New Roman" w:hAnsi="Times New Roman"/>
          <w:b/>
          <w:sz w:val="28"/>
          <w:szCs w:val="28"/>
          <w:lang w:val="ru-RU"/>
        </w:rPr>
        <w:t>Кривенко Л. Гингивит у детей с атопическими заболеваниями (клиника, диагностика, профилактика и лечение). Рукопись.</w:t>
      </w:r>
    </w:p>
    <w:p w:rsidR="00871DFA" w:rsidRPr="00DD39D0" w:rsidRDefault="00A54611" w:rsidP="002808DD">
      <w:pPr>
        <w:spacing w:after="0" w:line="240" w:lineRule="auto"/>
        <w:ind w:firstLine="709"/>
        <w:jc w:val="both"/>
        <w:rPr>
          <w:rFonts w:ascii="Times New Roman" w:hAnsi="Times New Roman"/>
          <w:sz w:val="28"/>
          <w:szCs w:val="28"/>
          <w:lang w:val="ru-RU"/>
        </w:rPr>
      </w:pPr>
      <w:r w:rsidRPr="00DD39D0">
        <w:rPr>
          <w:rFonts w:ascii="Times New Roman" w:hAnsi="Times New Roman"/>
          <w:sz w:val="28"/>
          <w:szCs w:val="28"/>
          <w:lang w:val="ru-RU"/>
        </w:rPr>
        <w:t>Диссертация на соискание ученой степени доктора медицинских на</w:t>
      </w:r>
      <w:r w:rsidR="00A54834">
        <w:rPr>
          <w:rFonts w:ascii="Times New Roman" w:hAnsi="Times New Roman"/>
          <w:sz w:val="28"/>
          <w:szCs w:val="28"/>
          <w:lang w:val="ru-RU"/>
        </w:rPr>
        <w:t>ук по специальности 14.01.22 - с</w:t>
      </w:r>
      <w:r w:rsidRPr="00DD39D0">
        <w:rPr>
          <w:rFonts w:ascii="Times New Roman" w:hAnsi="Times New Roman"/>
          <w:sz w:val="28"/>
          <w:szCs w:val="28"/>
          <w:lang w:val="ru-RU"/>
        </w:rPr>
        <w:t>томатология. - Харьковский национальный медицинский университет МЗ Украины, Харьков, 2018.</w:t>
      </w:r>
    </w:p>
    <w:p w:rsidR="008E0DC9" w:rsidRPr="00DD39D0" w:rsidRDefault="009E1F1D" w:rsidP="008E0DC9">
      <w:pPr>
        <w:spacing w:after="0" w:line="240" w:lineRule="auto"/>
        <w:ind w:firstLine="709"/>
        <w:jc w:val="both"/>
        <w:rPr>
          <w:rFonts w:ascii="Times New Roman" w:hAnsi="Times New Roman"/>
          <w:sz w:val="28"/>
          <w:szCs w:val="28"/>
          <w:lang w:val="ru-RU"/>
        </w:rPr>
      </w:pPr>
      <w:r w:rsidRPr="009E1F1D">
        <w:rPr>
          <w:rFonts w:ascii="Times New Roman" w:hAnsi="Times New Roman"/>
          <w:sz w:val="28"/>
          <w:szCs w:val="28"/>
          <w:lang w:val="ru-RU"/>
        </w:rPr>
        <w:t xml:space="preserve">В диссертационной работе представлена концептуально новая программа лечения и </w:t>
      </w:r>
      <w:r>
        <w:rPr>
          <w:rFonts w:ascii="Times New Roman" w:hAnsi="Times New Roman"/>
          <w:sz w:val="28"/>
          <w:szCs w:val="28"/>
          <w:lang w:val="ru-RU"/>
        </w:rPr>
        <w:t xml:space="preserve">профилактики </w:t>
      </w:r>
      <w:r w:rsidRPr="009E1F1D">
        <w:rPr>
          <w:rFonts w:ascii="Times New Roman" w:hAnsi="Times New Roman"/>
          <w:sz w:val="28"/>
          <w:szCs w:val="28"/>
          <w:lang w:val="ru-RU"/>
        </w:rPr>
        <w:t>гингивита у детей на фоне атопических заболеваний путем комплексного анализа стоматологического статуса, выявление прогностических биомаркеров инициации гингивита и дифференцированной коррекции им</w:t>
      </w:r>
      <w:r w:rsidR="00334803">
        <w:rPr>
          <w:rFonts w:ascii="Times New Roman" w:hAnsi="Times New Roman"/>
          <w:sz w:val="28"/>
          <w:szCs w:val="28"/>
          <w:lang w:val="ru-RU"/>
        </w:rPr>
        <w:t>м</w:t>
      </w:r>
      <w:r w:rsidRPr="009E1F1D">
        <w:rPr>
          <w:rFonts w:ascii="Times New Roman" w:hAnsi="Times New Roman"/>
          <w:sz w:val="28"/>
          <w:szCs w:val="28"/>
          <w:lang w:val="ru-RU"/>
        </w:rPr>
        <w:t>уномета</w:t>
      </w:r>
      <w:r w:rsidR="00334803">
        <w:rPr>
          <w:rFonts w:ascii="Times New Roman" w:hAnsi="Times New Roman"/>
          <w:sz w:val="28"/>
          <w:szCs w:val="28"/>
          <w:lang w:val="ru-RU"/>
        </w:rPr>
        <w:t>болических</w:t>
      </w:r>
      <w:r>
        <w:rPr>
          <w:rFonts w:ascii="Times New Roman" w:hAnsi="Times New Roman"/>
          <w:sz w:val="28"/>
          <w:szCs w:val="28"/>
          <w:lang w:val="ru-RU"/>
        </w:rPr>
        <w:t xml:space="preserve"> звеньев его патогенеза</w:t>
      </w:r>
      <w:r w:rsidR="008E0DC9" w:rsidRPr="00DD39D0">
        <w:rPr>
          <w:rFonts w:ascii="Times New Roman" w:hAnsi="Times New Roman"/>
          <w:sz w:val="28"/>
          <w:szCs w:val="28"/>
          <w:lang w:val="ru-RU"/>
        </w:rPr>
        <w:t xml:space="preserve">. </w:t>
      </w:r>
    </w:p>
    <w:p w:rsidR="00A54834" w:rsidRDefault="009E1F1D" w:rsidP="00A5483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Доказано</w:t>
      </w:r>
      <w:r w:rsidR="008E0DC9" w:rsidRPr="00DD39D0">
        <w:rPr>
          <w:rFonts w:ascii="Times New Roman" w:hAnsi="Times New Roman"/>
          <w:sz w:val="28"/>
          <w:szCs w:val="28"/>
          <w:lang w:val="ru-RU"/>
        </w:rPr>
        <w:t>, что у детей с атопическими заболеваниями степень воспаления тканей пародонта по индексу SBI и РМА достоверно выше, чем у дет</w:t>
      </w:r>
      <w:r>
        <w:rPr>
          <w:rFonts w:ascii="Times New Roman" w:hAnsi="Times New Roman"/>
          <w:sz w:val="28"/>
          <w:szCs w:val="28"/>
          <w:lang w:val="ru-RU"/>
        </w:rPr>
        <w:t xml:space="preserve">ей без соматической патологии. </w:t>
      </w:r>
      <w:r w:rsidR="008E0DC9" w:rsidRPr="00DD39D0">
        <w:rPr>
          <w:rFonts w:ascii="Times New Roman" w:hAnsi="Times New Roman"/>
          <w:sz w:val="28"/>
          <w:szCs w:val="28"/>
          <w:lang w:val="ru-RU"/>
        </w:rPr>
        <w:t>Экспериментально доказано, что при атопических процессах в ротовой полости морфологическая картина характеризуется воспалительными, дистрофическими,</w:t>
      </w:r>
      <w:r w:rsidR="00A54834">
        <w:rPr>
          <w:rFonts w:ascii="Times New Roman" w:hAnsi="Times New Roman"/>
          <w:sz w:val="28"/>
          <w:szCs w:val="28"/>
          <w:lang w:val="ru-RU"/>
        </w:rPr>
        <w:t xml:space="preserve"> дисциркуляторными изменениями. </w:t>
      </w:r>
      <w:r w:rsidR="00334803">
        <w:rPr>
          <w:rFonts w:ascii="Times New Roman" w:hAnsi="Times New Roman"/>
          <w:sz w:val="28"/>
          <w:szCs w:val="28"/>
          <w:lang w:val="ru-RU"/>
        </w:rPr>
        <w:t>Доказано</w:t>
      </w:r>
      <w:r w:rsidR="008E0DC9" w:rsidRPr="00DD39D0">
        <w:rPr>
          <w:rFonts w:ascii="Times New Roman" w:hAnsi="Times New Roman"/>
          <w:sz w:val="28"/>
          <w:szCs w:val="28"/>
          <w:lang w:val="ru-RU"/>
        </w:rPr>
        <w:t>, что наиболее информативным биомаркером, который характеризует антиоксидантный статус и позволяет прогнозировать степень воспаления тканей пародонта</w:t>
      </w:r>
      <w:r w:rsidR="002808DD">
        <w:rPr>
          <w:rFonts w:ascii="Times New Roman" w:hAnsi="Times New Roman"/>
          <w:sz w:val="28"/>
          <w:szCs w:val="28"/>
          <w:lang w:val="ru-RU"/>
        </w:rPr>
        <w:t>,</w:t>
      </w:r>
      <w:r w:rsidR="008E0DC9" w:rsidRPr="00DD39D0">
        <w:rPr>
          <w:rFonts w:ascii="Times New Roman" w:hAnsi="Times New Roman"/>
          <w:sz w:val="28"/>
          <w:szCs w:val="28"/>
          <w:lang w:val="ru-RU"/>
        </w:rPr>
        <w:t xml:space="preserve"> является уровень глутатиона в ротовой жидкости, коэффициент детерминации составляет 91%. </w:t>
      </w:r>
    </w:p>
    <w:p w:rsidR="008E0DC9" w:rsidRPr="00DD39D0" w:rsidRDefault="008E0DC9" w:rsidP="008E0DC9">
      <w:pPr>
        <w:spacing w:after="0" w:line="240" w:lineRule="auto"/>
        <w:ind w:firstLine="709"/>
        <w:jc w:val="both"/>
        <w:rPr>
          <w:rFonts w:ascii="Times New Roman" w:hAnsi="Times New Roman"/>
          <w:sz w:val="28"/>
          <w:szCs w:val="28"/>
          <w:lang w:val="ru-RU"/>
        </w:rPr>
      </w:pPr>
      <w:r w:rsidRPr="00DD39D0">
        <w:rPr>
          <w:rFonts w:ascii="Times New Roman" w:hAnsi="Times New Roman"/>
          <w:b/>
          <w:sz w:val="28"/>
          <w:szCs w:val="28"/>
          <w:lang w:val="ru-RU"/>
        </w:rPr>
        <w:t>Ключевые слова:</w:t>
      </w:r>
      <w:r w:rsidRPr="00DD39D0">
        <w:rPr>
          <w:rFonts w:ascii="Times New Roman" w:hAnsi="Times New Roman"/>
          <w:sz w:val="28"/>
          <w:szCs w:val="28"/>
          <w:lang w:val="ru-RU"/>
        </w:rPr>
        <w:t xml:space="preserve"> гингивит, атопические заболевания, иммунный статус, антиоксидантный баланс, регрессионный анализ.</w:t>
      </w:r>
    </w:p>
    <w:p w:rsidR="00A54611" w:rsidRPr="00DD39D0" w:rsidRDefault="00A54611" w:rsidP="00A54611">
      <w:pPr>
        <w:spacing w:after="0" w:line="240" w:lineRule="auto"/>
        <w:ind w:firstLine="709"/>
        <w:rPr>
          <w:rFonts w:ascii="Times New Roman" w:hAnsi="Times New Roman"/>
          <w:sz w:val="28"/>
          <w:szCs w:val="28"/>
          <w:lang w:val="ru-RU"/>
        </w:rPr>
      </w:pPr>
    </w:p>
    <w:p w:rsidR="008C0DA2" w:rsidRPr="00DD39D0" w:rsidRDefault="008E0DC9" w:rsidP="008E0DC9">
      <w:pPr>
        <w:spacing w:after="0" w:line="240" w:lineRule="auto"/>
        <w:ind w:firstLine="709"/>
        <w:jc w:val="center"/>
        <w:rPr>
          <w:rFonts w:ascii="Times New Roman" w:hAnsi="Times New Roman"/>
          <w:b/>
          <w:sz w:val="28"/>
          <w:szCs w:val="28"/>
        </w:rPr>
      </w:pPr>
      <w:r w:rsidRPr="00DD39D0">
        <w:rPr>
          <w:rFonts w:ascii="Times New Roman" w:hAnsi="Times New Roman"/>
          <w:b/>
          <w:sz w:val="28"/>
          <w:szCs w:val="28"/>
        </w:rPr>
        <w:t>ANNOTATION</w:t>
      </w:r>
    </w:p>
    <w:p w:rsidR="008E0DC9" w:rsidRPr="00DD39D0" w:rsidRDefault="008E0DC9" w:rsidP="008E0DC9">
      <w:pPr>
        <w:spacing w:after="0" w:line="240" w:lineRule="auto"/>
        <w:ind w:firstLine="709"/>
        <w:jc w:val="both"/>
        <w:rPr>
          <w:rFonts w:ascii="Times New Roman" w:hAnsi="Times New Roman"/>
          <w:sz w:val="28"/>
          <w:szCs w:val="28"/>
        </w:rPr>
      </w:pPr>
    </w:p>
    <w:p w:rsidR="00DD39D0" w:rsidRPr="00DD39D0" w:rsidRDefault="00DD39D0" w:rsidP="002808DD">
      <w:pPr>
        <w:spacing w:after="0" w:line="240" w:lineRule="auto"/>
        <w:ind w:firstLine="709"/>
        <w:jc w:val="both"/>
        <w:rPr>
          <w:rFonts w:ascii="Times New Roman" w:hAnsi="Times New Roman"/>
          <w:b/>
          <w:sz w:val="28"/>
          <w:szCs w:val="28"/>
        </w:rPr>
      </w:pPr>
      <w:r w:rsidRPr="00DD39D0">
        <w:rPr>
          <w:rFonts w:ascii="Times New Roman" w:hAnsi="Times New Roman"/>
          <w:b/>
          <w:sz w:val="28"/>
          <w:szCs w:val="28"/>
        </w:rPr>
        <w:t>Krivenko L.S. Gingivitis in children with atopic diseases (clinic, diagnosis, prevention and treatment). Manuscript.</w:t>
      </w:r>
    </w:p>
    <w:p w:rsidR="00DD39D0" w:rsidRPr="00DD39D0" w:rsidRDefault="00DD39D0" w:rsidP="002808DD">
      <w:pPr>
        <w:spacing w:after="0" w:line="240" w:lineRule="auto"/>
        <w:ind w:firstLine="709"/>
        <w:jc w:val="both"/>
        <w:rPr>
          <w:rFonts w:ascii="Times New Roman" w:hAnsi="Times New Roman"/>
          <w:sz w:val="28"/>
          <w:szCs w:val="28"/>
        </w:rPr>
      </w:pPr>
      <w:r w:rsidRPr="00DD39D0">
        <w:rPr>
          <w:rFonts w:ascii="Times New Roman" w:hAnsi="Times New Roman"/>
          <w:sz w:val="28"/>
          <w:szCs w:val="28"/>
        </w:rPr>
        <w:t>Dissertation for the</w:t>
      </w:r>
      <w:r w:rsidR="00A54834">
        <w:rPr>
          <w:rFonts w:ascii="Times New Roman" w:hAnsi="Times New Roman"/>
          <w:sz w:val="28"/>
          <w:szCs w:val="28"/>
          <w:lang w:val="uk-UA"/>
        </w:rPr>
        <w:t xml:space="preserve"> </w:t>
      </w:r>
      <w:r w:rsidR="00A54834">
        <w:rPr>
          <w:rFonts w:ascii="Times New Roman" w:hAnsi="Times New Roman"/>
          <w:sz w:val="28"/>
          <w:szCs w:val="28"/>
        </w:rPr>
        <w:t>scientific</w:t>
      </w:r>
      <w:r w:rsidRPr="00DD39D0">
        <w:rPr>
          <w:rFonts w:ascii="Times New Roman" w:hAnsi="Times New Roman"/>
          <w:sz w:val="28"/>
          <w:szCs w:val="28"/>
        </w:rPr>
        <w:t xml:space="preserve"> degree of Doctor of Medical Sciences in specialty 14.01.22 - Dentistry. - Kharkiv National Medical University, Ministry of Health of Ukraine, Kharkiv, 2018.</w:t>
      </w:r>
    </w:p>
    <w:p w:rsidR="00DD39D0" w:rsidRPr="00DD39D0" w:rsidRDefault="009E1F1D" w:rsidP="00DD39D0">
      <w:pPr>
        <w:spacing w:after="0" w:line="240" w:lineRule="auto"/>
        <w:ind w:firstLine="709"/>
        <w:jc w:val="both"/>
        <w:rPr>
          <w:rFonts w:ascii="Times New Roman" w:hAnsi="Times New Roman"/>
          <w:sz w:val="28"/>
          <w:szCs w:val="28"/>
        </w:rPr>
      </w:pPr>
      <w:r w:rsidRPr="009E1F1D">
        <w:rPr>
          <w:rFonts w:ascii="Times New Roman" w:hAnsi="Times New Roman"/>
          <w:sz w:val="28"/>
          <w:szCs w:val="28"/>
        </w:rPr>
        <w:t xml:space="preserve">In the dissertation the conceptually new program of treatment and prophylaxis of gingivitis </w:t>
      </w:r>
      <w:r>
        <w:rPr>
          <w:rFonts w:ascii="Times New Roman" w:hAnsi="Times New Roman"/>
          <w:sz w:val="28"/>
          <w:szCs w:val="28"/>
        </w:rPr>
        <w:t>in</w:t>
      </w:r>
      <w:r w:rsidRPr="009E1F1D">
        <w:rPr>
          <w:rFonts w:ascii="Times New Roman" w:hAnsi="Times New Roman"/>
          <w:sz w:val="28"/>
          <w:szCs w:val="28"/>
        </w:rPr>
        <w:t xml:space="preserve"> children </w:t>
      </w:r>
      <w:r>
        <w:rPr>
          <w:rFonts w:ascii="Times New Roman" w:hAnsi="Times New Roman"/>
          <w:sz w:val="28"/>
          <w:szCs w:val="28"/>
        </w:rPr>
        <w:t>with</w:t>
      </w:r>
      <w:r w:rsidRPr="009E1F1D">
        <w:rPr>
          <w:rFonts w:ascii="Times New Roman" w:hAnsi="Times New Roman"/>
          <w:sz w:val="28"/>
          <w:szCs w:val="28"/>
        </w:rPr>
        <w:t xml:space="preserve"> atopic diseases is presented </w:t>
      </w:r>
      <w:r>
        <w:rPr>
          <w:rFonts w:ascii="Times New Roman" w:hAnsi="Times New Roman"/>
          <w:sz w:val="28"/>
          <w:szCs w:val="28"/>
        </w:rPr>
        <w:t>by means of</w:t>
      </w:r>
      <w:r w:rsidRPr="009E1F1D">
        <w:rPr>
          <w:rFonts w:ascii="Times New Roman" w:hAnsi="Times New Roman"/>
          <w:sz w:val="28"/>
          <w:szCs w:val="28"/>
        </w:rPr>
        <w:t xml:space="preserve"> the complex analysis of dental status, detection of prognostic biomarkers of initiation of gingivitis and differentiated correction of immunomedabolic units of its pathogenesis.</w:t>
      </w:r>
      <w:r w:rsidR="00DD39D0" w:rsidRPr="00DD39D0">
        <w:rPr>
          <w:rFonts w:ascii="Times New Roman" w:hAnsi="Times New Roman"/>
          <w:sz w:val="28"/>
          <w:szCs w:val="28"/>
        </w:rPr>
        <w:t xml:space="preserve"> Clinical, experimental, biochemical, clinical-laboratory, genetic, cytomorphological, </w:t>
      </w:r>
      <w:r w:rsidR="00DD39D0" w:rsidRPr="00DD39D0">
        <w:rPr>
          <w:rFonts w:ascii="Times New Roman" w:hAnsi="Times New Roman"/>
          <w:sz w:val="28"/>
          <w:szCs w:val="28"/>
        </w:rPr>
        <w:lastRenderedPageBreak/>
        <w:t>immunohistochemical, clinical-statistical methods of investigation were used during investigation.</w:t>
      </w:r>
    </w:p>
    <w:p w:rsidR="00DD39D0" w:rsidRPr="00DD39D0" w:rsidRDefault="00DD39D0" w:rsidP="00DD39D0">
      <w:pPr>
        <w:spacing w:after="0" w:line="240" w:lineRule="auto"/>
        <w:ind w:firstLine="709"/>
        <w:jc w:val="both"/>
        <w:rPr>
          <w:rFonts w:ascii="Times New Roman" w:hAnsi="Times New Roman"/>
          <w:sz w:val="28"/>
          <w:szCs w:val="28"/>
        </w:rPr>
      </w:pPr>
      <w:r w:rsidRPr="00DD39D0">
        <w:rPr>
          <w:rFonts w:ascii="Times New Roman" w:hAnsi="Times New Roman"/>
          <w:sz w:val="28"/>
          <w:szCs w:val="28"/>
        </w:rPr>
        <w:t>The indexes of clinical dental status in children with gingivitis and the leading etiological factors of development of gingivitis in children with atopic diseases are studied. It is established that in children with atopic diseases the degree of inflammation of periodontal tissues according to the index SBI and PMA is significantly higher than in children without somatic pathology. Changes in the properties of the oral fluid were observed, which were increasing of the acidity and increasing the level of mucin among groups of children with atopy. It has been established that in the group of patients with atopic diseases at the minimum values of indices characterizing inflammation in periodontal tissues, an immune metabolic imbalance has already been observed, which makes it possible to determine the stage of pre-illness in this contingent of children. It has been established that irrespective of the level of inflammation, there is a decrease in the level of immunoglobulins of class A, G, M and decrease in activity of SOD, increase of concentration of MDA, decrease of the content of catalase and glutathione. The leading etiological factors of chronic gingivitis in children with atopic diseases are the presence of immune-metabolic imbalance.</w:t>
      </w:r>
    </w:p>
    <w:p w:rsidR="00DD39D0" w:rsidRPr="00DD39D0" w:rsidRDefault="00DD39D0" w:rsidP="00DD39D0">
      <w:pPr>
        <w:spacing w:after="0" w:line="240" w:lineRule="auto"/>
        <w:ind w:firstLine="709"/>
        <w:jc w:val="both"/>
        <w:rPr>
          <w:rFonts w:ascii="Times New Roman" w:hAnsi="Times New Roman"/>
          <w:sz w:val="28"/>
          <w:szCs w:val="28"/>
        </w:rPr>
      </w:pPr>
      <w:r w:rsidRPr="00DD39D0">
        <w:rPr>
          <w:rFonts w:ascii="Times New Roman" w:hAnsi="Times New Roman"/>
          <w:sz w:val="28"/>
          <w:szCs w:val="28"/>
        </w:rPr>
        <w:t>It has been experimentally proved that, in atopic processes in the oral cavity, the morphology is characterized by inflammatory, dystrophic, dyscirculatory changes.</w:t>
      </w:r>
    </w:p>
    <w:p w:rsidR="00DD39D0" w:rsidRPr="00DD39D0" w:rsidRDefault="00DD39D0" w:rsidP="00DD39D0">
      <w:pPr>
        <w:spacing w:after="0" w:line="240" w:lineRule="auto"/>
        <w:ind w:firstLine="709"/>
        <w:jc w:val="both"/>
        <w:rPr>
          <w:rFonts w:ascii="Times New Roman" w:hAnsi="Times New Roman"/>
          <w:sz w:val="28"/>
          <w:szCs w:val="28"/>
        </w:rPr>
      </w:pPr>
      <w:r w:rsidRPr="00DD39D0">
        <w:rPr>
          <w:rFonts w:ascii="Times New Roman" w:hAnsi="Times New Roman"/>
          <w:sz w:val="28"/>
          <w:szCs w:val="28"/>
        </w:rPr>
        <w:t xml:space="preserve">The prognostic model of inflammatory periodontal diseases was constructed on the basis of the most informative biomarkers of inflammation observed during the study. The linear regression equation is constructed, with the help of which a determination of predictive values of inflammation of periodontal tissues is possible during the preventive and therapeutic measures. It has been determined that the most informative biomarker, which characterizes the antioxidant status and allows </w:t>
      </w:r>
      <w:proofErr w:type="gramStart"/>
      <w:r w:rsidRPr="00DD39D0">
        <w:rPr>
          <w:rFonts w:ascii="Times New Roman" w:hAnsi="Times New Roman"/>
          <w:sz w:val="28"/>
          <w:szCs w:val="28"/>
        </w:rPr>
        <w:t>to predict</w:t>
      </w:r>
      <w:proofErr w:type="gramEnd"/>
      <w:r w:rsidRPr="00DD39D0">
        <w:rPr>
          <w:rFonts w:ascii="Times New Roman" w:hAnsi="Times New Roman"/>
          <w:sz w:val="28"/>
          <w:szCs w:val="28"/>
        </w:rPr>
        <w:t xml:space="preserve"> the degree of periodontal tissue inflammation, is the level of glutathione in the oral liquid, the determination coefficient is 91%. It was established that the determination coefficient of the level of inflammation of the periodontal tissues (by the index SBI) from the level of secretory immunoglobulin A is 86%, on the level of immunoglobulin G - 82%. It was established that the determination coefficient of the level of inflammation of periodontal tissues (by the index of PMA) from the level of immunoglobulin A is 76%. These biomarkers can be used to predict inflammatory periodontal disease in periodontal healthy children.</w:t>
      </w:r>
    </w:p>
    <w:p w:rsidR="00DD39D0" w:rsidRPr="00DD39D0" w:rsidRDefault="00DD39D0" w:rsidP="00DD39D0">
      <w:pPr>
        <w:spacing w:after="0" w:line="240" w:lineRule="auto"/>
        <w:ind w:firstLine="709"/>
        <w:jc w:val="both"/>
        <w:rPr>
          <w:rFonts w:ascii="Times New Roman" w:hAnsi="Times New Roman"/>
          <w:sz w:val="28"/>
          <w:szCs w:val="28"/>
          <w:lang w:val="uk-UA"/>
        </w:rPr>
      </w:pPr>
      <w:r w:rsidRPr="00DD39D0">
        <w:rPr>
          <w:rFonts w:ascii="Times New Roman" w:hAnsi="Times New Roman"/>
          <w:sz w:val="28"/>
          <w:szCs w:val="28"/>
          <w:lang w:val="uk-UA"/>
        </w:rPr>
        <w:t xml:space="preserve">The individualized program of treatment and prophylactic measures on the basis of pathogenetic correction of immunological status and correction of antioxidant imbalance in children </w:t>
      </w:r>
      <w:r w:rsidRPr="00DD39D0">
        <w:rPr>
          <w:rFonts w:ascii="Times New Roman" w:hAnsi="Times New Roman"/>
          <w:sz w:val="28"/>
          <w:szCs w:val="28"/>
        </w:rPr>
        <w:t>with</w:t>
      </w:r>
      <w:r w:rsidRPr="00DD39D0">
        <w:rPr>
          <w:rFonts w:ascii="Times New Roman" w:hAnsi="Times New Roman"/>
          <w:sz w:val="28"/>
          <w:szCs w:val="28"/>
          <w:lang w:val="uk-UA"/>
        </w:rPr>
        <w:t xml:space="preserve"> atopic diseases is developed and implemented. Conceptually a new program for the treatment and prevention of gingivitis included the </w:t>
      </w:r>
      <w:r w:rsidRPr="00DD39D0">
        <w:rPr>
          <w:rFonts w:ascii="Times New Roman" w:hAnsi="Times New Roman"/>
          <w:sz w:val="28"/>
          <w:szCs w:val="28"/>
        </w:rPr>
        <w:t>indication</w:t>
      </w:r>
      <w:r w:rsidRPr="00DD39D0">
        <w:rPr>
          <w:rFonts w:ascii="Times New Roman" w:hAnsi="Times New Roman"/>
          <w:sz w:val="28"/>
          <w:szCs w:val="28"/>
          <w:lang w:val="uk-UA"/>
        </w:rPr>
        <w:t xml:space="preserve"> of immunomodulatory medication and vitamin, antioxidant complexes in the presence of antioxidant imbalance, as well as the correction of the individual hygiene scheme, which was to use a moisturizing gel</w:t>
      </w:r>
      <w:r w:rsidRPr="00DD39D0">
        <w:rPr>
          <w:rFonts w:ascii="Times New Roman" w:hAnsi="Times New Roman"/>
          <w:sz w:val="28"/>
          <w:szCs w:val="28"/>
        </w:rPr>
        <w:t xml:space="preserve"> for gums</w:t>
      </w:r>
      <w:r w:rsidRPr="00DD39D0">
        <w:rPr>
          <w:rFonts w:ascii="Times New Roman" w:hAnsi="Times New Roman"/>
          <w:sz w:val="28"/>
          <w:szCs w:val="28"/>
          <w:lang w:val="uk-UA"/>
        </w:rPr>
        <w:t xml:space="preserve"> containing betaine, </w:t>
      </w:r>
      <w:r w:rsidRPr="00DD39D0">
        <w:rPr>
          <w:rFonts w:ascii="Times New Roman" w:hAnsi="Times New Roman"/>
          <w:sz w:val="28"/>
          <w:szCs w:val="28"/>
          <w:lang w:val="uk-UA"/>
        </w:rPr>
        <w:lastRenderedPageBreak/>
        <w:t xml:space="preserve">allantoin and xylitol and </w:t>
      </w:r>
      <w:r w:rsidRPr="00DD39D0">
        <w:rPr>
          <w:rFonts w:ascii="Times New Roman" w:hAnsi="Times New Roman"/>
          <w:sz w:val="28"/>
          <w:szCs w:val="28"/>
        </w:rPr>
        <w:t xml:space="preserve">mouth </w:t>
      </w:r>
      <w:r w:rsidRPr="00DD39D0">
        <w:rPr>
          <w:rFonts w:ascii="Times New Roman" w:hAnsi="Times New Roman"/>
          <w:sz w:val="28"/>
          <w:szCs w:val="28"/>
          <w:lang w:val="uk-UA"/>
        </w:rPr>
        <w:t>rinse in xerostomia, asthmatic attacks and the use of inhaled medicines.</w:t>
      </w:r>
    </w:p>
    <w:p w:rsidR="008E0DC9" w:rsidRPr="00DD39D0" w:rsidRDefault="00DD39D0" w:rsidP="00DD39D0">
      <w:pPr>
        <w:spacing w:after="0" w:line="240" w:lineRule="auto"/>
        <w:ind w:firstLine="709"/>
        <w:jc w:val="both"/>
        <w:rPr>
          <w:rFonts w:ascii="Times New Roman" w:hAnsi="Times New Roman"/>
          <w:sz w:val="28"/>
          <w:szCs w:val="28"/>
          <w:lang w:val="uk-UA"/>
        </w:rPr>
      </w:pPr>
      <w:r w:rsidRPr="00DD39D0">
        <w:rPr>
          <w:rFonts w:ascii="Times New Roman" w:hAnsi="Times New Roman"/>
          <w:b/>
          <w:sz w:val="28"/>
          <w:szCs w:val="28"/>
          <w:lang w:val="uk-UA"/>
        </w:rPr>
        <w:t>Keywords:</w:t>
      </w:r>
      <w:r w:rsidRPr="00DD39D0">
        <w:rPr>
          <w:rFonts w:ascii="Times New Roman" w:hAnsi="Times New Roman"/>
          <w:sz w:val="28"/>
          <w:szCs w:val="28"/>
          <w:lang w:val="uk-UA"/>
        </w:rPr>
        <w:t xml:space="preserve"> gingivitis, atopic diseases, immune status, antioxidant balance, regression analysis.</w:t>
      </w:r>
    </w:p>
    <w:p w:rsidR="008C0DA2" w:rsidRPr="00DD39D0" w:rsidRDefault="008C0DA2" w:rsidP="008C0DA2">
      <w:pPr>
        <w:spacing w:after="0" w:line="240" w:lineRule="auto"/>
        <w:ind w:firstLine="709"/>
        <w:rPr>
          <w:rFonts w:ascii="Times New Roman" w:hAnsi="Times New Roman"/>
          <w:sz w:val="28"/>
          <w:szCs w:val="28"/>
          <w:lang w:val="uk-UA"/>
        </w:rPr>
      </w:pPr>
    </w:p>
    <w:p w:rsidR="00191A76" w:rsidRPr="00DD39D0" w:rsidRDefault="00191A76" w:rsidP="008C0DA2">
      <w:pPr>
        <w:spacing w:after="0" w:line="240" w:lineRule="auto"/>
        <w:jc w:val="center"/>
        <w:rPr>
          <w:rFonts w:ascii="Times New Roman" w:hAnsi="Times New Roman"/>
          <w:b/>
          <w:sz w:val="28"/>
          <w:szCs w:val="28"/>
          <w:lang w:val="uk-UA"/>
        </w:rPr>
      </w:pPr>
      <w:r w:rsidRPr="00DD39D0">
        <w:rPr>
          <w:rFonts w:ascii="Times New Roman" w:hAnsi="Times New Roman"/>
          <w:b/>
          <w:sz w:val="28"/>
          <w:szCs w:val="28"/>
          <w:lang w:val="uk-UA"/>
        </w:rPr>
        <w:t>ПЕРЕЛІК УМОВНИХ ПОЗНАЧЕНЬ, СИМВОЛІВ, ОДИНИЦЬ, СКОРОЧЕНЬ І ТЕРМІНІВ</w:t>
      </w:r>
    </w:p>
    <w:p w:rsidR="008C0DA2" w:rsidRPr="00DD39D0" w:rsidRDefault="008C0DA2" w:rsidP="008C0DA2">
      <w:pPr>
        <w:spacing w:after="0" w:line="240" w:lineRule="auto"/>
        <w:jc w:val="center"/>
        <w:rPr>
          <w:rFonts w:ascii="Times New Roman" w:hAnsi="Times New Roman"/>
          <w:b/>
          <w:sz w:val="28"/>
          <w:szCs w:val="28"/>
          <w:lang w:val="uk-UA"/>
        </w:rPr>
      </w:pPr>
    </w:p>
    <w:p w:rsidR="00191A76" w:rsidRPr="00DD39D0" w:rsidRDefault="00191A76" w:rsidP="008C0DA2">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АД – атопічний дерматит</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БА – бронхіальна астма</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АР – атопічний риніт</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ХГ – хронічний гінгівіт</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ПОЛ – перекисне окиснення ліпідів</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МДА – малоновий диальдегід</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СОД – супероксиддисмутаза</w:t>
      </w:r>
    </w:p>
    <w:p w:rsidR="00A8114E" w:rsidRPr="00DD39D0" w:rsidRDefault="00A8114E"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ВГ – відновлений глутатіон</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КПВ – карієс, пломба, видалений (індекс інтенсивності карієсу)</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rPr>
        <w:t>PMA</w:t>
      </w:r>
      <w:r w:rsidRPr="00DD39D0">
        <w:rPr>
          <w:rFonts w:ascii="Times New Roman" w:hAnsi="Times New Roman"/>
          <w:sz w:val="28"/>
          <w:szCs w:val="28"/>
          <w:lang w:val="uk-UA"/>
        </w:rPr>
        <w:t xml:space="preserve"> – папілярно-маргінально-альвеолярний індекс</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rPr>
        <w:t>SBI</w:t>
      </w:r>
      <w:r w:rsidRPr="00DD39D0">
        <w:rPr>
          <w:rFonts w:ascii="Times New Roman" w:hAnsi="Times New Roman"/>
          <w:sz w:val="28"/>
          <w:szCs w:val="28"/>
          <w:lang w:val="uk-UA"/>
        </w:rPr>
        <w:t xml:space="preserve"> – індекс кровоточивості ясен (</w:t>
      </w:r>
      <w:r w:rsidRPr="00DD39D0">
        <w:rPr>
          <w:rFonts w:ascii="Times New Roman" w:hAnsi="Times New Roman"/>
          <w:sz w:val="28"/>
          <w:szCs w:val="28"/>
        </w:rPr>
        <w:t>sulcus</w:t>
      </w:r>
      <w:r w:rsidRPr="00DD39D0">
        <w:rPr>
          <w:rFonts w:ascii="Times New Roman" w:hAnsi="Times New Roman"/>
          <w:sz w:val="28"/>
          <w:szCs w:val="28"/>
          <w:lang w:val="uk-UA"/>
        </w:rPr>
        <w:t xml:space="preserve"> </w:t>
      </w:r>
      <w:r w:rsidRPr="00DD39D0">
        <w:rPr>
          <w:rFonts w:ascii="Times New Roman" w:hAnsi="Times New Roman"/>
          <w:sz w:val="28"/>
          <w:szCs w:val="28"/>
        </w:rPr>
        <w:t>bleeding</w:t>
      </w:r>
      <w:r w:rsidRPr="00DD39D0">
        <w:rPr>
          <w:rFonts w:ascii="Times New Roman" w:hAnsi="Times New Roman"/>
          <w:sz w:val="28"/>
          <w:szCs w:val="28"/>
          <w:lang w:val="uk-UA"/>
        </w:rPr>
        <w:t xml:space="preserve"> </w:t>
      </w:r>
      <w:r w:rsidRPr="00DD39D0">
        <w:rPr>
          <w:rFonts w:ascii="Times New Roman" w:hAnsi="Times New Roman"/>
          <w:sz w:val="28"/>
          <w:szCs w:val="28"/>
        </w:rPr>
        <w:t>index</w:t>
      </w:r>
      <w:r w:rsidRPr="00DD39D0">
        <w:rPr>
          <w:rFonts w:ascii="Times New Roman" w:hAnsi="Times New Roman"/>
          <w:sz w:val="28"/>
          <w:szCs w:val="28"/>
          <w:lang w:val="uk-UA"/>
        </w:rPr>
        <w:t>)</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rPr>
        <w:t>OHI</w:t>
      </w:r>
      <w:r w:rsidRPr="00DD39D0">
        <w:rPr>
          <w:rFonts w:ascii="Times New Roman" w:hAnsi="Times New Roman"/>
          <w:sz w:val="28"/>
          <w:szCs w:val="28"/>
          <w:lang w:val="uk-UA"/>
        </w:rPr>
        <w:t>-</w:t>
      </w:r>
      <w:r w:rsidRPr="00DD39D0">
        <w:rPr>
          <w:rFonts w:ascii="Times New Roman" w:hAnsi="Times New Roman"/>
          <w:sz w:val="28"/>
          <w:szCs w:val="28"/>
        </w:rPr>
        <w:t>S</w:t>
      </w:r>
      <w:r w:rsidRPr="00DD39D0">
        <w:rPr>
          <w:rFonts w:ascii="Times New Roman" w:hAnsi="Times New Roman"/>
          <w:sz w:val="28"/>
          <w:szCs w:val="28"/>
          <w:lang w:val="uk-UA"/>
        </w:rPr>
        <w:t xml:space="preserve"> – спрощений індекс гігієни порожнини рота (</w:t>
      </w:r>
      <w:r w:rsidRPr="00DD39D0">
        <w:rPr>
          <w:rFonts w:ascii="Times New Roman" w:hAnsi="Times New Roman"/>
          <w:sz w:val="28"/>
          <w:szCs w:val="28"/>
        </w:rPr>
        <w:t>Oral</w:t>
      </w:r>
      <w:r w:rsidRPr="00DD39D0">
        <w:rPr>
          <w:rFonts w:ascii="Times New Roman" w:hAnsi="Times New Roman"/>
          <w:sz w:val="28"/>
          <w:szCs w:val="28"/>
          <w:lang w:val="uk-UA"/>
        </w:rPr>
        <w:t xml:space="preserve"> </w:t>
      </w:r>
      <w:r w:rsidRPr="00DD39D0">
        <w:rPr>
          <w:rFonts w:ascii="Times New Roman" w:hAnsi="Times New Roman"/>
          <w:sz w:val="28"/>
          <w:szCs w:val="28"/>
        </w:rPr>
        <w:t>Hygiene</w:t>
      </w:r>
      <w:r w:rsidRPr="00DD39D0">
        <w:rPr>
          <w:rFonts w:ascii="Times New Roman" w:hAnsi="Times New Roman"/>
          <w:sz w:val="28"/>
          <w:szCs w:val="28"/>
          <w:lang w:val="uk-UA"/>
        </w:rPr>
        <w:t xml:space="preserve"> </w:t>
      </w:r>
      <w:r w:rsidRPr="00DD39D0">
        <w:rPr>
          <w:rFonts w:ascii="Times New Roman" w:hAnsi="Times New Roman"/>
          <w:sz w:val="28"/>
          <w:szCs w:val="28"/>
        </w:rPr>
        <w:t>Index</w:t>
      </w:r>
      <w:r w:rsidRPr="00DD39D0">
        <w:rPr>
          <w:rFonts w:ascii="Times New Roman" w:hAnsi="Times New Roman"/>
          <w:sz w:val="28"/>
          <w:szCs w:val="28"/>
          <w:lang w:val="uk-UA"/>
        </w:rPr>
        <w:t xml:space="preserve"> </w:t>
      </w:r>
      <w:r w:rsidRPr="00DD39D0">
        <w:rPr>
          <w:rFonts w:ascii="Times New Roman" w:hAnsi="Times New Roman"/>
          <w:sz w:val="28"/>
          <w:szCs w:val="28"/>
        </w:rPr>
        <w:t>Simplified</w:t>
      </w:r>
      <w:r w:rsidRPr="00DD39D0">
        <w:rPr>
          <w:rFonts w:ascii="Times New Roman" w:hAnsi="Times New Roman"/>
          <w:sz w:val="28"/>
          <w:szCs w:val="28"/>
          <w:lang w:val="uk-UA"/>
        </w:rPr>
        <w:t>)</w:t>
      </w:r>
    </w:p>
    <w:p w:rsidR="00A8114E" w:rsidRPr="00DD39D0" w:rsidRDefault="00A8114E" w:rsidP="00A8114E">
      <w:pPr>
        <w:spacing w:after="0" w:line="240" w:lineRule="auto"/>
        <w:jc w:val="both"/>
        <w:rPr>
          <w:rFonts w:ascii="Times New Roman" w:hAnsi="Times New Roman"/>
          <w:sz w:val="28"/>
          <w:szCs w:val="28"/>
          <w:lang w:val="uk-UA"/>
        </w:rPr>
      </w:pPr>
      <w:proofErr w:type="gramStart"/>
      <w:r w:rsidRPr="00DD39D0">
        <w:rPr>
          <w:rFonts w:ascii="Times New Roman" w:hAnsi="Times New Roman"/>
          <w:sz w:val="28"/>
          <w:szCs w:val="28"/>
        </w:rPr>
        <w:t>sIgA</w:t>
      </w:r>
      <w:proofErr w:type="gramEnd"/>
      <w:r w:rsidRPr="00DD39D0">
        <w:rPr>
          <w:rFonts w:ascii="Times New Roman" w:hAnsi="Times New Roman"/>
          <w:sz w:val="28"/>
          <w:szCs w:val="28"/>
          <w:lang w:val="uk-UA"/>
        </w:rPr>
        <w:t xml:space="preserve"> – секреторний імуноглобулін А</w:t>
      </w:r>
    </w:p>
    <w:p w:rsidR="00A8114E" w:rsidRPr="00DD39D0" w:rsidRDefault="00A8114E"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rPr>
        <w:t>IgA</w:t>
      </w:r>
      <w:r w:rsidRPr="00DD39D0">
        <w:rPr>
          <w:rFonts w:ascii="Times New Roman" w:hAnsi="Times New Roman"/>
          <w:sz w:val="28"/>
          <w:szCs w:val="28"/>
          <w:lang w:val="uk-UA"/>
        </w:rPr>
        <w:t xml:space="preserve"> – імуноглобулін А </w:t>
      </w:r>
    </w:p>
    <w:p w:rsidR="00A8114E" w:rsidRPr="00DD39D0" w:rsidRDefault="00A8114E"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rPr>
        <w:t>IgG</w:t>
      </w:r>
      <w:r w:rsidRPr="00DD39D0">
        <w:rPr>
          <w:rFonts w:ascii="Times New Roman" w:hAnsi="Times New Roman"/>
          <w:sz w:val="28"/>
          <w:szCs w:val="28"/>
          <w:lang w:val="uk-UA"/>
        </w:rPr>
        <w:t xml:space="preserve"> – імуноглобулін </w:t>
      </w:r>
      <w:r w:rsidRPr="00DD39D0">
        <w:rPr>
          <w:rFonts w:ascii="Times New Roman" w:hAnsi="Times New Roman"/>
          <w:sz w:val="28"/>
          <w:szCs w:val="28"/>
        </w:rPr>
        <w:t>G</w:t>
      </w:r>
    </w:p>
    <w:p w:rsidR="00A8114E" w:rsidRPr="00DD39D0" w:rsidRDefault="00A8114E"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rPr>
        <w:t>IgM</w:t>
      </w:r>
      <w:r w:rsidRPr="00DD39D0">
        <w:rPr>
          <w:rFonts w:ascii="Times New Roman" w:hAnsi="Times New Roman"/>
          <w:sz w:val="28"/>
          <w:szCs w:val="28"/>
          <w:lang w:val="uk-UA"/>
        </w:rPr>
        <w:t xml:space="preserve"> – імуноглобулін М</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ПЛР - полімеразна ланцюгова реакція</w:t>
      </w:r>
    </w:p>
    <w:p w:rsidR="00191A76" w:rsidRPr="00DD39D0" w:rsidRDefault="00191A76" w:rsidP="00A8114E">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ПДРФ - поліморфізм довжин рестрикційних фрагментів.</w:t>
      </w:r>
    </w:p>
    <w:p w:rsidR="00191A76" w:rsidRPr="00DD39D0" w:rsidRDefault="00191A76" w:rsidP="00546256">
      <w:pPr>
        <w:spacing w:after="0" w:line="240" w:lineRule="auto"/>
        <w:jc w:val="both"/>
        <w:rPr>
          <w:rFonts w:ascii="Times New Roman" w:hAnsi="Times New Roman"/>
          <w:sz w:val="28"/>
          <w:szCs w:val="28"/>
          <w:lang w:val="uk-UA"/>
        </w:rPr>
      </w:pPr>
      <w:r w:rsidRPr="00DD39D0">
        <w:rPr>
          <w:rFonts w:ascii="Times New Roman" w:hAnsi="Times New Roman"/>
          <w:sz w:val="28"/>
          <w:szCs w:val="28"/>
          <w:lang w:val="uk-UA"/>
        </w:rPr>
        <w:t>ІГХ – імуногістохімічне дослідження</w:t>
      </w:r>
    </w:p>
    <w:sectPr w:rsidR="00191A76" w:rsidRPr="00DD39D0" w:rsidSect="004D500C">
      <w:headerReference w:type="default" r:id="rId11"/>
      <w:type w:val="oddPage"/>
      <w:pgSz w:w="12240" w:h="15840"/>
      <w:pgMar w:top="1134" w:right="851" w:bottom="1134" w:left="1701" w:header="567" w:footer="73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2A" w:rsidRDefault="008F5C2A" w:rsidP="00E267F9">
      <w:pPr>
        <w:spacing w:after="0" w:line="240" w:lineRule="auto"/>
      </w:pPr>
      <w:r>
        <w:separator/>
      </w:r>
    </w:p>
  </w:endnote>
  <w:endnote w:type="continuationSeparator" w:id="0">
    <w:p w:rsidR="008F5C2A" w:rsidRDefault="008F5C2A" w:rsidP="00E2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2A" w:rsidRDefault="008F5C2A" w:rsidP="00E267F9">
      <w:pPr>
        <w:spacing w:after="0" w:line="240" w:lineRule="auto"/>
      </w:pPr>
      <w:r>
        <w:separator/>
      </w:r>
    </w:p>
  </w:footnote>
  <w:footnote w:type="continuationSeparator" w:id="0">
    <w:p w:rsidR="008F5C2A" w:rsidRDefault="008F5C2A" w:rsidP="00E26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35455"/>
      <w:docPartObj>
        <w:docPartGallery w:val="Page Numbers (Top of Page)"/>
        <w:docPartUnique/>
      </w:docPartObj>
    </w:sdtPr>
    <w:sdtEndPr>
      <w:rPr>
        <w:noProof/>
      </w:rPr>
    </w:sdtEndPr>
    <w:sdtContent>
      <w:p w:rsidR="009B19C9" w:rsidRDefault="009B19C9" w:rsidP="009B19C9">
        <w:pPr>
          <w:pStyle w:val="a3"/>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1205"/>
      <w:docPartObj>
        <w:docPartGallery w:val="Page Numbers (Top of Page)"/>
        <w:docPartUnique/>
      </w:docPartObj>
    </w:sdtPr>
    <w:sdtEndPr>
      <w:rPr>
        <w:noProof/>
      </w:rPr>
    </w:sdtEndPr>
    <w:sdtContent>
      <w:p w:rsidR="004D500C" w:rsidRDefault="004D500C">
        <w:pPr>
          <w:pStyle w:val="a3"/>
          <w:jc w:val="center"/>
        </w:pPr>
        <w:r>
          <w:fldChar w:fldCharType="begin"/>
        </w:r>
        <w:r>
          <w:instrText xml:space="preserve"> PAGE   \* MERGEFORMAT </w:instrText>
        </w:r>
        <w:r>
          <w:fldChar w:fldCharType="separate"/>
        </w:r>
        <w:r w:rsidR="00E559E4">
          <w:rPr>
            <w:noProof/>
          </w:rPr>
          <w:t>1</w:t>
        </w:r>
        <w:r>
          <w:rPr>
            <w:noProof/>
          </w:rPr>
          <w:fldChar w:fldCharType="end"/>
        </w:r>
      </w:p>
    </w:sdtContent>
  </w:sdt>
  <w:p w:rsidR="00945ED1" w:rsidRDefault="00945ED1" w:rsidP="00945E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80193"/>
      <w:docPartObj>
        <w:docPartGallery w:val="Page Numbers (Top of Page)"/>
        <w:docPartUnique/>
      </w:docPartObj>
    </w:sdtPr>
    <w:sdtEndPr>
      <w:rPr>
        <w:noProof/>
      </w:rPr>
    </w:sdtEndPr>
    <w:sdtContent>
      <w:p w:rsidR="00945ED1" w:rsidRPr="00945ED1" w:rsidRDefault="00945ED1" w:rsidP="00945ED1">
        <w:pPr>
          <w:pStyle w:val="a3"/>
          <w:jc w:val="center"/>
        </w:pPr>
        <w:r>
          <w:fldChar w:fldCharType="begin"/>
        </w:r>
        <w:r>
          <w:instrText xml:space="preserve"> PAGE   \* MERGEFORMAT </w:instrText>
        </w:r>
        <w:r>
          <w:fldChar w:fldCharType="separate"/>
        </w:r>
        <w:r w:rsidR="00E559E4">
          <w:rPr>
            <w:noProof/>
          </w:rPr>
          <w:t>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0202"/>
    <w:multiLevelType w:val="hybridMultilevel"/>
    <w:tmpl w:val="674AF19C"/>
    <w:lvl w:ilvl="0" w:tplc="041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326A5278">
      <w:start w:val="1"/>
      <w:numFmt w:val="upperLetter"/>
      <w:lvlText w:val="%4."/>
      <w:lvlJc w:val="left"/>
      <w:pPr>
        <w:tabs>
          <w:tab w:val="num" w:pos="2520"/>
        </w:tabs>
        <w:ind w:left="2520" w:hanging="360"/>
      </w:pPr>
      <w:rPr>
        <w:rFonts w:hint="default"/>
      </w:rPr>
    </w:lvl>
    <w:lvl w:ilvl="4" w:tplc="0B5C23C6">
      <w:start w:val="4"/>
      <w:numFmt w:val="lowerLetter"/>
      <w:lvlText w:val="%5."/>
      <w:lvlJc w:val="left"/>
      <w:pPr>
        <w:tabs>
          <w:tab w:val="num" w:pos="3240"/>
        </w:tabs>
        <w:ind w:left="3240" w:hanging="360"/>
      </w:pPr>
      <w:rPr>
        <w:rFont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4B123C70"/>
    <w:multiLevelType w:val="hybridMultilevel"/>
    <w:tmpl w:val="1F124AB2"/>
    <w:lvl w:ilvl="0" w:tplc="090A0D94">
      <w:start w:val="1"/>
      <w:numFmt w:val="decimal"/>
      <w:lvlText w:val="%1."/>
      <w:lvlJc w:val="left"/>
      <w:pPr>
        <w:ind w:left="786"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8B85276"/>
    <w:multiLevelType w:val="hybridMultilevel"/>
    <w:tmpl w:val="694E5B76"/>
    <w:lvl w:ilvl="0" w:tplc="F09643B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D7654E6"/>
    <w:multiLevelType w:val="hybridMultilevel"/>
    <w:tmpl w:val="6080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F9"/>
    <w:rsid w:val="0000596C"/>
    <w:rsid w:val="00022295"/>
    <w:rsid w:val="000438DF"/>
    <w:rsid w:val="00051F01"/>
    <w:rsid w:val="00070397"/>
    <w:rsid w:val="0009033C"/>
    <w:rsid w:val="000A0517"/>
    <w:rsid w:val="000B19CA"/>
    <w:rsid w:val="00102DB5"/>
    <w:rsid w:val="00120A61"/>
    <w:rsid w:val="0015280E"/>
    <w:rsid w:val="00171801"/>
    <w:rsid w:val="00191A76"/>
    <w:rsid w:val="001A6AD0"/>
    <w:rsid w:val="001B3766"/>
    <w:rsid w:val="001C2B28"/>
    <w:rsid w:val="001F41FE"/>
    <w:rsid w:val="00211525"/>
    <w:rsid w:val="002268B9"/>
    <w:rsid w:val="0023740E"/>
    <w:rsid w:val="0024773D"/>
    <w:rsid w:val="0026295B"/>
    <w:rsid w:val="002808DD"/>
    <w:rsid w:val="002A16CA"/>
    <w:rsid w:val="002E56F9"/>
    <w:rsid w:val="002F3A53"/>
    <w:rsid w:val="0030177D"/>
    <w:rsid w:val="00303B9E"/>
    <w:rsid w:val="00334803"/>
    <w:rsid w:val="00366D07"/>
    <w:rsid w:val="0039794F"/>
    <w:rsid w:val="003B3782"/>
    <w:rsid w:val="003C57F6"/>
    <w:rsid w:val="00407774"/>
    <w:rsid w:val="00417A34"/>
    <w:rsid w:val="004338C9"/>
    <w:rsid w:val="00462E12"/>
    <w:rsid w:val="0047086B"/>
    <w:rsid w:val="004C2DA8"/>
    <w:rsid w:val="004D4BC2"/>
    <w:rsid w:val="004D500C"/>
    <w:rsid w:val="004E3186"/>
    <w:rsid w:val="004E616B"/>
    <w:rsid w:val="004F46D2"/>
    <w:rsid w:val="0050759E"/>
    <w:rsid w:val="00524FA2"/>
    <w:rsid w:val="005317F8"/>
    <w:rsid w:val="00546256"/>
    <w:rsid w:val="005516AD"/>
    <w:rsid w:val="005F6DE6"/>
    <w:rsid w:val="005F7384"/>
    <w:rsid w:val="00603887"/>
    <w:rsid w:val="006053EE"/>
    <w:rsid w:val="00665489"/>
    <w:rsid w:val="00670FBA"/>
    <w:rsid w:val="006721D7"/>
    <w:rsid w:val="006E6952"/>
    <w:rsid w:val="00706628"/>
    <w:rsid w:val="007123AF"/>
    <w:rsid w:val="007608DF"/>
    <w:rsid w:val="0076154B"/>
    <w:rsid w:val="00775579"/>
    <w:rsid w:val="00775731"/>
    <w:rsid w:val="007818E7"/>
    <w:rsid w:val="007B622F"/>
    <w:rsid w:val="007F028B"/>
    <w:rsid w:val="008028DB"/>
    <w:rsid w:val="00807389"/>
    <w:rsid w:val="00871DFA"/>
    <w:rsid w:val="008775D1"/>
    <w:rsid w:val="008B0C56"/>
    <w:rsid w:val="008C0DA2"/>
    <w:rsid w:val="008C1635"/>
    <w:rsid w:val="008E0DC9"/>
    <w:rsid w:val="008F5C2A"/>
    <w:rsid w:val="00933DBB"/>
    <w:rsid w:val="00945ED1"/>
    <w:rsid w:val="0094668F"/>
    <w:rsid w:val="009661F5"/>
    <w:rsid w:val="00966525"/>
    <w:rsid w:val="009A20E3"/>
    <w:rsid w:val="009B19C9"/>
    <w:rsid w:val="009C2B96"/>
    <w:rsid w:val="009E1F1D"/>
    <w:rsid w:val="009E6BA6"/>
    <w:rsid w:val="00A27E8D"/>
    <w:rsid w:val="00A54611"/>
    <w:rsid w:val="00A54834"/>
    <w:rsid w:val="00A8114E"/>
    <w:rsid w:val="00AA13EF"/>
    <w:rsid w:val="00AA17A0"/>
    <w:rsid w:val="00AD0387"/>
    <w:rsid w:val="00AE15C0"/>
    <w:rsid w:val="00AE1C43"/>
    <w:rsid w:val="00AF263D"/>
    <w:rsid w:val="00AF5D3D"/>
    <w:rsid w:val="00B04236"/>
    <w:rsid w:val="00B14B61"/>
    <w:rsid w:val="00B25792"/>
    <w:rsid w:val="00C41A61"/>
    <w:rsid w:val="00C73ADD"/>
    <w:rsid w:val="00CC3479"/>
    <w:rsid w:val="00CC7474"/>
    <w:rsid w:val="00CE2AF1"/>
    <w:rsid w:val="00CE785D"/>
    <w:rsid w:val="00D17659"/>
    <w:rsid w:val="00D4602C"/>
    <w:rsid w:val="00D61330"/>
    <w:rsid w:val="00DB0C13"/>
    <w:rsid w:val="00DB778B"/>
    <w:rsid w:val="00DD39D0"/>
    <w:rsid w:val="00DF0D7B"/>
    <w:rsid w:val="00E1492C"/>
    <w:rsid w:val="00E267F9"/>
    <w:rsid w:val="00E336FE"/>
    <w:rsid w:val="00E559E4"/>
    <w:rsid w:val="00E87300"/>
    <w:rsid w:val="00ED66C2"/>
    <w:rsid w:val="00F40353"/>
    <w:rsid w:val="00F5521B"/>
    <w:rsid w:val="00F648E4"/>
    <w:rsid w:val="00FE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FA"/>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7F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267F9"/>
  </w:style>
  <w:style w:type="paragraph" w:styleId="a5">
    <w:name w:val="footer"/>
    <w:basedOn w:val="a"/>
    <w:link w:val="a6"/>
    <w:uiPriority w:val="99"/>
    <w:unhideWhenUsed/>
    <w:rsid w:val="00E267F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267F9"/>
  </w:style>
  <w:style w:type="paragraph" w:styleId="a7">
    <w:name w:val="List Paragraph"/>
    <w:basedOn w:val="a"/>
    <w:uiPriority w:val="34"/>
    <w:qFormat/>
    <w:rsid w:val="00191A76"/>
    <w:pPr>
      <w:ind w:left="720"/>
      <w:contextualSpacing/>
    </w:pPr>
  </w:style>
  <w:style w:type="table" w:styleId="a8">
    <w:name w:val="Table Grid"/>
    <w:basedOn w:val="a1"/>
    <w:rsid w:val="00CE785D"/>
    <w:rPr>
      <w:rFonts w:ascii="Times New Roman" w:eastAsia="Andale Sans UI" w:hAnsi="Times New Roman" w:cs="Tahoma"/>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D61330"/>
    <w:rPr>
      <w:color w:val="0563C1"/>
      <w:u w:val="single"/>
    </w:rPr>
  </w:style>
  <w:style w:type="paragraph" w:styleId="aa">
    <w:name w:val="Balloon Text"/>
    <w:basedOn w:val="a"/>
    <w:link w:val="ab"/>
    <w:uiPriority w:val="99"/>
    <w:semiHidden/>
    <w:unhideWhenUsed/>
    <w:rsid w:val="004F46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F46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FA"/>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7F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267F9"/>
  </w:style>
  <w:style w:type="paragraph" w:styleId="a5">
    <w:name w:val="footer"/>
    <w:basedOn w:val="a"/>
    <w:link w:val="a6"/>
    <w:uiPriority w:val="99"/>
    <w:unhideWhenUsed/>
    <w:rsid w:val="00E267F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267F9"/>
  </w:style>
  <w:style w:type="paragraph" w:styleId="a7">
    <w:name w:val="List Paragraph"/>
    <w:basedOn w:val="a"/>
    <w:uiPriority w:val="34"/>
    <w:qFormat/>
    <w:rsid w:val="00191A76"/>
    <w:pPr>
      <w:ind w:left="720"/>
      <w:contextualSpacing/>
    </w:pPr>
  </w:style>
  <w:style w:type="table" w:styleId="a8">
    <w:name w:val="Table Grid"/>
    <w:basedOn w:val="a1"/>
    <w:rsid w:val="00CE785D"/>
    <w:rPr>
      <w:rFonts w:ascii="Times New Roman" w:eastAsia="Andale Sans UI" w:hAnsi="Times New Roman" w:cs="Tahoma"/>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D61330"/>
    <w:rPr>
      <w:color w:val="0563C1"/>
      <w:u w:val="single"/>
    </w:rPr>
  </w:style>
  <w:style w:type="paragraph" w:styleId="aa">
    <w:name w:val="Balloon Text"/>
    <w:basedOn w:val="a"/>
    <w:link w:val="ab"/>
    <w:uiPriority w:val="99"/>
    <w:semiHidden/>
    <w:unhideWhenUsed/>
    <w:rsid w:val="004F46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F4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ВАК90</b:Tag>
    <b:SourceType>JournalArticle</b:SourceType>
    <b:Guid>{A7E8E069-EC8D-4A53-8E11-9A56E05F1810}</b:Guid>
    <b:Author>
      <b:Author>
        <b:NameList>
          <b:Person>
            <b:Last>В.А. Костюк</b:Last>
            <b:First>А.И.</b:First>
            <b:Middle>Потапович, Ж.В. Ковалева</b:Middle>
          </b:Person>
        </b:NameList>
      </b:Author>
    </b:Author>
    <b:Title>Простой и чувствительный метод определения активности супероксиддисмутазы, основанный на реакции окисления кверцетина </b:Title>
    <b:JournalName>Вопр. мед. химии.</b:JournalName>
    <b:Year>1990</b:Year>
    <b:Pages>88-91</b:Pages>
    <b:Issue>2</b:Issue>
    <b:RefOrder>39</b:RefOrder>
  </b:Source>
  <b:Source>
    <b:Tag>АПЛ07</b:Tag>
    <b:SourceType>Book</b:SourceType>
    <b:Guid>{6357E92F-7045-490B-8A93-723194C992B5}</b:Guid>
    <b:Title>Ферментативный метод определения дисбиоза полости рта для скрининга про- и пребиотиков: Метод. рекомендации</b:Title>
    <b:Year>2007</b:Year>
    <b:City>Киев</b:City>
    <b:Publisher>ГФЦ</b:Publisher>
    <b:Author>
      <b:Author>
        <b:Corporate>А.П. Левицкий, О.А. Макаренко, И.А. Селиванская [и др.].</b:Corporate>
      </b:Author>
    </b:Author>
    <b:Pages>26</b:Pages>
    <b:RefOrder>40</b:RefOrder>
  </b:Source>
  <b:Source>
    <b:Tag>АИК97</b:Tag>
    <b:SourceType>Book</b:SourceType>
    <b:Guid>{9D32986F-80BD-4A3B-B5C2-9E58DAD15156}</b:Guid>
    <b:Title>Спекторофотометрическое определение продуктов перекисного окисления  липидов // Медицинская   лабораторная диагностика  (программы  и  алгоритмы)</b:Title>
    <b:Year>1997</b:Year>
    <b:Pages>48-52</b:Pages>
    <b:Author>
      <b:Author>
        <b:NameList>
          <b:Person>
            <b:Last>А.И.Карпищенко</b:Last>
          </b:Person>
        </b:NameList>
      </b:Author>
    </b:Author>
    <b:City>Санкт-Петербург</b:City>
    <b:Publisher>Интермедика</b:Publisher>
    <b:RefOrder>41</b:RefOrder>
  </b:Source>
</b:Sources>
</file>

<file path=customXml/itemProps1.xml><?xml version="1.0" encoding="utf-8"?>
<ds:datastoreItem xmlns:ds="http://schemas.openxmlformats.org/officeDocument/2006/customXml" ds:itemID="{2DB27DE3-80CC-40B5-872B-D46D28DC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14075</Words>
  <Characters>80231</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Krivenko</dc:creator>
  <cp:lastModifiedBy>Юляша</cp:lastModifiedBy>
  <cp:revision>2</cp:revision>
  <cp:lastPrinted>2018-02-27T06:03:00Z</cp:lastPrinted>
  <dcterms:created xsi:type="dcterms:W3CDTF">2018-02-27T10:36:00Z</dcterms:created>
  <dcterms:modified xsi:type="dcterms:W3CDTF">2018-02-27T10:36:00Z</dcterms:modified>
</cp:coreProperties>
</file>